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928D90" w14:textId="69E19CAA" w:rsidR="00B73504" w:rsidRPr="00B73504" w:rsidRDefault="00B73504" w:rsidP="00B73504">
      <w:pPr>
        <w:rPr>
          <w:rFonts w:ascii="Calibri" w:hAnsi="Calibri" w:cs="Calibri"/>
          <w:b/>
          <w:bCs/>
          <w:sz w:val="22"/>
          <w:szCs w:val="22"/>
        </w:rPr>
      </w:pPr>
      <w:r w:rsidRPr="00B73504">
        <w:rPr>
          <w:rFonts w:ascii="Calibri" w:hAnsi="Calibri" w:cs="Calibri"/>
          <w:b/>
          <w:bCs/>
          <w:sz w:val="22"/>
          <w:szCs w:val="22"/>
        </w:rPr>
        <w:t>Economic, Political, and Social Factors</w:t>
      </w:r>
      <w:r w:rsidRPr="00B73504">
        <w:rPr>
          <w:rFonts w:ascii="Calibri" w:hAnsi="Calibri" w:cs="Calibri"/>
          <w:b/>
          <w:bCs/>
          <w:sz w:val="22"/>
          <w:szCs w:val="22"/>
        </w:rPr>
        <w:t xml:space="preserve"> That Could Affect Market Entry Plans</w:t>
      </w:r>
    </w:p>
    <w:p w14:paraId="2A4DC92C" w14:textId="77777777" w:rsidR="00B73504" w:rsidRPr="00B73504" w:rsidRDefault="00B73504" w:rsidP="00B73504">
      <w:pPr>
        <w:rPr>
          <w:rFonts w:ascii="Calibri" w:hAnsi="Calibri" w:cs="Calibri"/>
          <w:sz w:val="22"/>
          <w:szCs w:val="22"/>
        </w:rPr>
      </w:pPr>
    </w:p>
    <w:p w14:paraId="052B5A34" w14:textId="77777777" w:rsidR="00B73504" w:rsidRPr="00B73504" w:rsidRDefault="00B73504" w:rsidP="00B73504">
      <w:pPr>
        <w:rPr>
          <w:rFonts w:ascii="Calibri" w:hAnsi="Calibri" w:cs="Calibri"/>
          <w:sz w:val="22"/>
          <w:szCs w:val="22"/>
        </w:rPr>
      </w:pPr>
      <w:r w:rsidRPr="00B73504">
        <w:rPr>
          <w:rFonts w:ascii="Calibri" w:hAnsi="Calibri" w:cs="Calibri"/>
          <w:sz w:val="22"/>
          <w:szCs w:val="22"/>
        </w:rPr>
        <w:t>When a foreign company is expanding into the U.S. market, several economic, political, and social factors may impact their market entry efforts. Here are some factors to consider and strategies to address them:</w:t>
      </w:r>
    </w:p>
    <w:p w14:paraId="6B303FB9" w14:textId="77777777" w:rsidR="00B73504" w:rsidRPr="00B73504" w:rsidRDefault="00B73504" w:rsidP="00B73504">
      <w:pPr>
        <w:rPr>
          <w:rFonts w:ascii="Calibri" w:hAnsi="Calibri" w:cs="Calibri"/>
          <w:sz w:val="22"/>
          <w:szCs w:val="22"/>
        </w:rPr>
      </w:pPr>
    </w:p>
    <w:p w14:paraId="4CE4B857" w14:textId="3BFF4A8D" w:rsidR="00B73504" w:rsidRPr="00B73504" w:rsidRDefault="00B73504" w:rsidP="00B73504">
      <w:pPr>
        <w:rPr>
          <w:rFonts w:ascii="Calibri" w:hAnsi="Calibri" w:cs="Calibri"/>
          <w:sz w:val="22"/>
          <w:szCs w:val="22"/>
        </w:rPr>
      </w:pPr>
      <w:r w:rsidRPr="00B73504">
        <w:rPr>
          <w:rFonts w:ascii="Calibri" w:hAnsi="Calibri" w:cs="Calibri"/>
          <w:b/>
          <w:bCs/>
          <w:sz w:val="22"/>
          <w:szCs w:val="22"/>
        </w:rPr>
        <w:t>Economic Factors</w:t>
      </w:r>
      <w:r w:rsidRPr="00B73504">
        <w:rPr>
          <w:rFonts w:ascii="Calibri" w:hAnsi="Calibri" w:cs="Calibri"/>
          <w:sz w:val="22"/>
          <w:szCs w:val="22"/>
        </w:rPr>
        <w:t>:</w:t>
      </w:r>
    </w:p>
    <w:p w14:paraId="7D80B6DF" w14:textId="77777777" w:rsidR="00B73504" w:rsidRPr="00B73504" w:rsidRDefault="00B73504" w:rsidP="00B73504">
      <w:pPr>
        <w:rPr>
          <w:rFonts w:ascii="Calibri" w:hAnsi="Calibri" w:cs="Calibri"/>
          <w:sz w:val="22"/>
          <w:szCs w:val="22"/>
        </w:rPr>
      </w:pPr>
      <w:r w:rsidRPr="00B73504">
        <w:rPr>
          <w:rFonts w:ascii="Calibri" w:hAnsi="Calibri" w:cs="Calibri"/>
          <w:sz w:val="22"/>
          <w:szCs w:val="22"/>
        </w:rPr>
        <w:t>Market Size and Competition:</w:t>
      </w:r>
    </w:p>
    <w:p w14:paraId="4DF47DF9" w14:textId="77777777" w:rsidR="00B73504" w:rsidRPr="00B73504" w:rsidRDefault="00B73504" w:rsidP="00B73504">
      <w:pPr>
        <w:pStyle w:val="ListParagraph"/>
        <w:numPr>
          <w:ilvl w:val="0"/>
          <w:numId w:val="1"/>
        </w:numPr>
        <w:rPr>
          <w:rFonts w:ascii="Calibri" w:hAnsi="Calibri" w:cs="Calibri"/>
          <w:sz w:val="22"/>
          <w:szCs w:val="22"/>
        </w:rPr>
      </w:pPr>
      <w:r w:rsidRPr="00B73504">
        <w:rPr>
          <w:rFonts w:ascii="Calibri" w:hAnsi="Calibri" w:cs="Calibri"/>
          <w:sz w:val="22"/>
          <w:szCs w:val="22"/>
        </w:rPr>
        <w:t>Concern: The U.S. market is vast and highly competitive, with diverse consumer preferences and strong incumbent players in various industries.</w:t>
      </w:r>
    </w:p>
    <w:p w14:paraId="3791A821" w14:textId="77777777" w:rsidR="00B73504" w:rsidRPr="00B73504" w:rsidRDefault="00B73504" w:rsidP="00B73504">
      <w:pPr>
        <w:pStyle w:val="ListParagraph"/>
        <w:numPr>
          <w:ilvl w:val="0"/>
          <w:numId w:val="1"/>
        </w:numPr>
        <w:rPr>
          <w:rFonts w:ascii="Calibri" w:hAnsi="Calibri" w:cs="Calibri"/>
          <w:sz w:val="22"/>
          <w:szCs w:val="22"/>
        </w:rPr>
      </w:pPr>
      <w:r w:rsidRPr="00B73504">
        <w:rPr>
          <w:rFonts w:ascii="Calibri" w:hAnsi="Calibri" w:cs="Calibri"/>
          <w:sz w:val="22"/>
          <w:szCs w:val="22"/>
        </w:rPr>
        <w:t>Strategy: Conduct thorough market research to identify niche opportunities, differentiate products or services, and develop targeted marketing strategies to penetrate specific segments effectively.</w:t>
      </w:r>
    </w:p>
    <w:p w14:paraId="69EBB854" w14:textId="77777777" w:rsidR="00B73504" w:rsidRPr="00B73504" w:rsidRDefault="00B73504" w:rsidP="00B73504">
      <w:pPr>
        <w:rPr>
          <w:rFonts w:ascii="Calibri" w:hAnsi="Calibri" w:cs="Calibri"/>
          <w:sz w:val="22"/>
          <w:szCs w:val="22"/>
        </w:rPr>
      </w:pPr>
      <w:r w:rsidRPr="00B73504">
        <w:rPr>
          <w:rFonts w:ascii="Calibri" w:hAnsi="Calibri" w:cs="Calibri"/>
          <w:sz w:val="22"/>
          <w:szCs w:val="22"/>
        </w:rPr>
        <w:t>Currency Fluctuations and Exchange Rates:</w:t>
      </w:r>
    </w:p>
    <w:p w14:paraId="130B4D27" w14:textId="77777777" w:rsidR="00B73504" w:rsidRPr="00B73504" w:rsidRDefault="00B73504" w:rsidP="00B73504">
      <w:pPr>
        <w:pStyle w:val="ListParagraph"/>
        <w:numPr>
          <w:ilvl w:val="0"/>
          <w:numId w:val="2"/>
        </w:numPr>
        <w:rPr>
          <w:rFonts w:ascii="Calibri" w:hAnsi="Calibri" w:cs="Calibri"/>
          <w:sz w:val="22"/>
          <w:szCs w:val="22"/>
        </w:rPr>
      </w:pPr>
      <w:r w:rsidRPr="00B73504">
        <w:rPr>
          <w:rFonts w:ascii="Calibri" w:hAnsi="Calibri" w:cs="Calibri"/>
          <w:sz w:val="22"/>
          <w:szCs w:val="22"/>
        </w:rPr>
        <w:t>Concern: Currency fluctuations and exchange rate volatility can affect pricing, profitability, and cost competitiveness.</w:t>
      </w:r>
    </w:p>
    <w:p w14:paraId="339B9474" w14:textId="23618768" w:rsidR="00B73504" w:rsidRPr="00B73504" w:rsidRDefault="00B73504" w:rsidP="00B73504">
      <w:pPr>
        <w:pStyle w:val="ListParagraph"/>
        <w:numPr>
          <w:ilvl w:val="0"/>
          <w:numId w:val="2"/>
        </w:numPr>
        <w:rPr>
          <w:rFonts w:ascii="Calibri" w:hAnsi="Calibri" w:cs="Calibri"/>
          <w:sz w:val="22"/>
          <w:szCs w:val="22"/>
        </w:rPr>
      </w:pPr>
      <w:r w:rsidRPr="00B73504">
        <w:rPr>
          <w:rFonts w:ascii="Calibri" w:hAnsi="Calibri" w:cs="Calibri"/>
          <w:sz w:val="22"/>
          <w:szCs w:val="22"/>
        </w:rPr>
        <w:t xml:space="preserve">Strategy: Implement hedging strategies to mitigate currency risks, price products or services in local currency to reduce exchange rate </w:t>
      </w:r>
      <w:r w:rsidRPr="00B73504">
        <w:rPr>
          <w:rFonts w:ascii="Calibri" w:hAnsi="Calibri" w:cs="Calibri"/>
          <w:sz w:val="22"/>
          <w:szCs w:val="22"/>
        </w:rPr>
        <w:t>exposure and</w:t>
      </w:r>
      <w:r w:rsidRPr="00B73504">
        <w:rPr>
          <w:rFonts w:ascii="Calibri" w:hAnsi="Calibri" w:cs="Calibri"/>
          <w:sz w:val="22"/>
          <w:szCs w:val="22"/>
        </w:rPr>
        <w:t xml:space="preserve"> establish flexible pricing models to adapt to currency fluctuations.</w:t>
      </w:r>
    </w:p>
    <w:p w14:paraId="729B0453" w14:textId="77777777" w:rsidR="00B73504" w:rsidRPr="00B73504" w:rsidRDefault="00B73504" w:rsidP="00B73504">
      <w:pPr>
        <w:rPr>
          <w:rFonts w:ascii="Calibri" w:hAnsi="Calibri" w:cs="Calibri"/>
          <w:sz w:val="22"/>
          <w:szCs w:val="22"/>
        </w:rPr>
      </w:pPr>
      <w:r w:rsidRPr="00B73504">
        <w:rPr>
          <w:rFonts w:ascii="Calibri" w:hAnsi="Calibri" w:cs="Calibri"/>
          <w:sz w:val="22"/>
          <w:szCs w:val="22"/>
        </w:rPr>
        <w:t>Regulatory Environment:</w:t>
      </w:r>
    </w:p>
    <w:p w14:paraId="4001CA5B" w14:textId="77777777" w:rsidR="00B73504" w:rsidRPr="00B73504" w:rsidRDefault="00B73504" w:rsidP="00B73504">
      <w:pPr>
        <w:pStyle w:val="ListParagraph"/>
        <w:numPr>
          <w:ilvl w:val="0"/>
          <w:numId w:val="3"/>
        </w:numPr>
        <w:rPr>
          <w:rFonts w:ascii="Calibri" w:hAnsi="Calibri" w:cs="Calibri"/>
          <w:sz w:val="22"/>
          <w:szCs w:val="22"/>
        </w:rPr>
      </w:pPr>
      <w:r w:rsidRPr="00B73504">
        <w:rPr>
          <w:rFonts w:ascii="Calibri" w:hAnsi="Calibri" w:cs="Calibri"/>
          <w:sz w:val="22"/>
          <w:szCs w:val="22"/>
        </w:rPr>
        <w:t>Concern: The U.S. regulatory environment is complex, with industry-specific regulations, compliance requirements, and licensing procedures.</w:t>
      </w:r>
    </w:p>
    <w:p w14:paraId="1FBCD59C" w14:textId="77777777" w:rsidR="00B73504" w:rsidRPr="00B73504" w:rsidRDefault="00B73504" w:rsidP="00B73504">
      <w:pPr>
        <w:pStyle w:val="ListParagraph"/>
        <w:numPr>
          <w:ilvl w:val="0"/>
          <w:numId w:val="3"/>
        </w:numPr>
        <w:rPr>
          <w:rFonts w:ascii="Calibri" w:hAnsi="Calibri" w:cs="Calibri"/>
          <w:sz w:val="22"/>
          <w:szCs w:val="22"/>
        </w:rPr>
      </w:pPr>
      <w:r w:rsidRPr="00B73504">
        <w:rPr>
          <w:rFonts w:ascii="Calibri" w:hAnsi="Calibri" w:cs="Calibri"/>
          <w:sz w:val="22"/>
          <w:szCs w:val="22"/>
        </w:rPr>
        <w:t>Strategy: Seek legal counsel to navigate regulatory requirements, ensure compliance with relevant laws and regulations, and establish robust internal controls and compliance programs to mitigate regulatory risks.</w:t>
      </w:r>
    </w:p>
    <w:p w14:paraId="2A5B7F44" w14:textId="77777777" w:rsidR="00B73504" w:rsidRPr="00B73504" w:rsidRDefault="00B73504" w:rsidP="00B73504">
      <w:pPr>
        <w:rPr>
          <w:rFonts w:ascii="Calibri" w:hAnsi="Calibri" w:cs="Calibri"/>
          <w:sz w:val="22"/>
          <w:szCs w:val="22"/>
        </w:rPr>
      </w:pPr>
      <w:r w:rsidRPr="00B73504">
        <w:rPr>
          <w:rFonts w:ascii="Calibri" w:hAnsi="Calibri" w:cs="Calibri"/>
          <w:sz w:val="22"/>
          <w:szCs w:val="22"/>
        </w:rPr>
        <w:t>Consumer Spending Patterns:</w:t>
      </w:r>
    </w:p>
    <w:p w14:paraId="132E1305" w14:textId="77777777" w:rsidR="00B73504" w:rsidRPr="00B73504" w:rsidRDefault="00B73504" w:rsidP="00B73504">
      <w:pPr>
        <w:pStyle w:val="ListParagraph"/>
        <w:numPr>
          <w:ilvl w:val="0"/>
          <w:numId w:val="4"/>
        </w:numPr>
        <w:rPr>
          <w:rFonts w:ascii="Calibri" w:hAnsi="Calibri" w:cs="Calibri"/>
          <w:sz w:val="22"/>
          <w:szCs w:val="22"/>
        </w:rPr>
      </w:pPr>
      <w:r w:rsidRPr="00B73504">
        <w:rPr>
          <w:rFonts w:ascii="Calibri" w:hAnsi="Calibri" w:cs="Calibri"/>
          <w:sz w:val="22"/>
          <w:szCs w:val="22"/>
        </w:rPr>
        <w:t>Concern: Fluctuations in consumer spending patterns and discretionary income levels may impact demand for products or services.</w:t>
      </w:r>
    </w:p>
    <w:p w14:paraId="699C6CF2" w14:textId="74079DD0" w:rsidR="00B73504" w:rsidRPr="00B73504" w:rsidRDefault="00B73504" w:rsidP="00B73504">
      <w:pPr>
        <w:pStyle w:val="ListParagraph"/>
        <w:numPr>
          <w:ilvl w:val="0"/>
          <w:numId w:val="4"/>
        </w:numPr>
        <w:rPr>
          <w:rFonts w:ascii="Calibri" w:hAnsi="Calibri" w:cs="Calibri"/>
          <w:sz w:val="22"/>
          <w:szCs w:val="22"/>
        </w:rPr>
      </w:pPr>
      <w:r w:rsidRPr="00B73504">
        <w:rPr>
          <w:rFonts w:ascii="Calibri" w:hAnsi="Calibri" w:cs="Calibri"/>
          <w:sz w:val="22"/>
          <w:szCs w:val="22"/>
        </w:rPr>
        <w:t xml:space="preserve">Strategy: Monitor consumer trends and economic indicators, tailor marketing strategies to target consumer segments with stable purchasing </w:t>
      </w:r>
      <w:r w:rsidRPr="00B73504">
        <w:rPr>
          <w:rFonts w:ascii="Calibri" w:hAnsi="Calibri" w:cs="Calibri"/>
          <w:sz w:val="22"/>
          <w:szCs w:val="22"/>
        </w:rPr>
        <w:t>power and</w:t>
      </w:r>
      <w:r w:rsidRPr="00B73504">
        <w:rPr>
          <w:rFonts w:ascii="Calibri" w:hAnsi="Calibri" w:cs="Calibri"/>
          <w:sz w:val="22"/>
          <w:szCs w:val="22"/>
        </w:rPr>
        <w:t xml:space="preserve"> offer value-added propositions to attract budget-conscious consumers.</w:t>
      </w:r>
    </w:p>
    <w:p w14:paraId="310C80B8" w14:textId="77777777" w:rsidR="00B73504" w:rsidRPr="00B73504" w:rsidRDefault="00B73504" w:rsidP="00B73504">
      <w:pPr>
        <w:rPr>
          <w:rFonts w:ascii="Calibri" w:hAnsi="Calibri" w:cs="Calibri"/>
          <w:sz w:val="22"/>
          <w:szCs w:val="22"/>
        </w:rPr>
      </w:pPr>
      <w:r w:rsidRPr="00B73504">
        <w:rPr>
          <w:rFonts w:ascii="Calibri" w:hAnsi="Calibri" w:cs="Calibri"/>
          <w:sz w:val="22"/>
          <w:szCs w:val="22"/>
        </w:rPr>
        <w:t>Cost of Doing Business:</w:t>
      </w:r>
    </w:p>
    <w:p w14:paraId="47B2CF89" w14:textId="77777777" w:rsidR="00B73504" w:rsidRPr="00B73504" w:rsidRDefault="00B73504" w:rsidP="00B73504">
      <w:pPr>
        <w:pStyle w:val="ListParagraph"/>
        <w:numPr>
          <w:ilvl w:val="0"/>
          <w:numId w:val="5"/>
        </w:numPr>
        <w:rPr>
          <w:rFonts w:ascii="Calibri" w:hAnsi="Calibri" w:cs="Calibri"/>
          <w:sz w:val="22"/>
          <w:szCs w:val="22"/>
        </w:rPr>
      </w:pPr>
      <w:r w:rsidRPr="00B73504">
        <w:rPr>
          <w:rFonts w:ascii="Calibri" w:hAnsi="Calibri" w:cs="Calibri"/>
          <w:sz w:val="22"/>
          <w:szCs w:val="22"/>
        </w:rPr>
        <w:t>Concern: Variations in the cost of labor, real estate, utilities, and taxes across different states or regions may impact business operating expenses.</w:t>
      </w:r>
    </w:p>
    <w:p w14:paraId="31D0998E" w14:textId="77777777" w:rsidR="00B73504" w:rsidRPr="00B73504" w:rsidRDefault="00B73504" w:rsidP="00B73504">
      <w:pPr>
        <w:pStyle w:val="ListParagraph"/>
        <w:numPr>
          <w:ilvl w:val="0"/>
          <w:numId w:val="5"/>
        </w:numPr>
        <w:rPr>
          <w:rFonts w:ascii="Calibri" w:hAnsi="Calibri" w:cs="Calibri"/>
          <w:sz w:val="22"/>
          <w:szCs w:val="22"/>
        </w:rPr>
      </w:pPr>
      <w:r w:rsidRPr="00B73504">
        <w:rPr>
          <w:rFonts w:ascii="Calibri" w:hAnsi="Calibri" w:cs="Calibri"/>
          <w:sz w:val="22"/>
          <w:szCs w:val="22"/>
        </w:rPr>
        <w:lastRenderedPageBreak/>
        <w:t>Strategy: Conduct cost-benefit analyses for potential locations, negotiate favorable lease agreements, explore tax incentives and economic development programs offered by state and local governments, and optimize supply chain logistics to minimize costs.</w:t>
      </w:r>
    </w:p>
    <w:p w14:paraId="2A9FADCF" w14:textId="77777777" w:rsidR="00B73504" w:rsidRPr="00B73504" w:rsidRDefault="00B73504" w:rsidP="00B73504">
      <w:pPr>
        <w:rPr>
          <w:rFonts w:ascii="Calibri" w:hAnsi="Calibri" w:cs="Calibri"/>
          <w:sz w:val="22"/>
          <w:szCs w:val="22"/>
        </w:rPr>
      </w:pPr>
    </w:p>
    <w:p w14:paraId="4ADBB424" w14:textId="77777777" w:rsidR="00B73504" w:rsidRPr="00B73504" w:rsidRDefault="00B73504" w:rsidP="00B73504">
      <w:pPr>
        <w:rPr>
          <w:rFonts w:ascii="Calibri" w:hAnsi="Calibri" w:cs="Calibri"/>
          <w:b/>
          <w:bCs/>
          <w:sz w:val="22"/>
          <w:szCs w:val="22"/>
        </w:rPr>
      </w:pPr>
      <w:r w:rsidRPr="00B73504">
        <w:rPr>
          <w:rFonts w:ascii="Calibri" w:hAnsi="Calibri" w:cs="Calibri"/>
          <w:b/>
          <w:bCs/>
          <w:sz w:val="22"/>
          <w:szCs w:val="22"/>
        </w:rPr>
        <w:t>Political Factors</w:t>
      </w:r>
    </w:p>
    <w:p w14:paraId="699AB007" w14:textId="77777777" w:rsidR="00B73504" w:rsidRPr="00B73504" w:rsidRDefault="00B73504" w:rsidP="00B73504">
      <w:pPr>
        <w:rPr>
          <w:rFonts w:ascii="Calibri" w:hAnsi="Calibri" w:cs="Calibri"/>
          <w:sz w:val="22"/>
          <w:szCs w:val="22"/>
        </w:rPr>
      </w:pPr>
      <w:r w:rsidRPr="00B73504">
        <w:rPr>
          <w:rFonts w:ascii="Calibri" w:hAnsi="Calibri" w:cs="Calibri"/>
          <w:sz w:val="22"/>
          <w:szCs w:val="22"/>
        </w:rPr>
        <w:t>Trade Policies and Tariffs:</w:t>
      </w:r>
    </w:p>
    <w:p w14:paraId="6E5FEC69" w14:textId="77777777" w:rsidR="00B73504" w:rsidRPr="00B73504" w:rsidRDefault="00B73504" w:rsidP="00B73504">
      <w:pPr>
        <w:pStyle w:val="ListParagraph"/>
        <w:numPr>
          <w:ilvl w:val="0"/>
          <w:numId w:val="6"/>
        </w:numPr>
        <w:rPr>
          <w:rFonts w:ascii="Calibri" w:hAnsi="Calibri" w:cs="Calibri"/>
          <w:sz w:val="22"/>
          <w:szCs w:val="22"/>
        </w:rPr>
      </w:pPr>
      <w:r w:rsidRPr="00B73504">
        <w:rPr>
          <w:rFonts w:ascii="Calibri" w:hAnsi="Calibri" w:cs="Calibri"/>
          <w:sz w:val="22"/>
          <w:szCs w:val="22"/>
        </w:rPr>
        <w:t>Concern: Changes in trade policies, tariffs, or trade agreements may impact import/export costs, supply chain logistics, and market access.</w:t>
      </w:r>
    </w:p>
    <w:p w14:paraId="70FD5940" w14:textId="77777777" w:rsidR="00B73504" w:rsidRPr="00B73504" w:rsidRDefault="00B73504" w:rsidP="00B73504">
      <w:pPr>
        <w:pStyle w:val="ListParagraph"/>
        <w:numPr>
          <w:ilvl w:val="0"/>
          <w:numId w:val="6"/>
        </w:numPr>
        <w:rPr>
          <w:rFonts w:ascii="Calibri" w:hAnsi="Calibri" w:cs="Calibri"/>
          <w:sz w:val="22"/>
          <w:szCs w:val="22"/>
        </w:rPr>
      </w:pPr>
      <w:r w:rsidRPr="00B73504">
        <w:rPr>
          <w:rFonts w:ascii="Calibri" w:hAnsi="Calibri" w:cs="Calibri"/>
          <w:sz w:val="22"/>
          <w:szCs w:val="22"/>
        </w:rPr>
        <w:t>Strategy: Stay informed about trade developments and government policies, diversify supply chains to mitigate tariff risks, and engage in advocacy efforts to influence trade policies that affect the company's interests.</w:t>
      </w:r>
    </w:p>
    <w:p w14:paraId="4255D5AD" w14:textId="77777777" w:rsidR="00B73504" w:rsidRPr="00B73504" w:rsidRDefault="00B73504" w:rsidP="00B73504">
      <w:pPr>
        <w:rPr>
          <w:rFonts w:ascii="Calibri" w:hAnsi="Calibri" w:cs="Calibri"/>
          <w:sz w:val="22"/>
          <w:szCs w:val="22"/>
        </w:rPr>
      </w:pPr>
      <w:r w:rsidRPr="00B73504">
        <w:rPr>
          <w:rFonts w:ascii="Calibri" w:hAnsi="Calibri" w:cs="Calibri"/>
          <w:sz w:val="22"/>
          <w:szCs w:val="22"/>
        </w:rPr>
        <w:t>Political Stability and Governance:</w:t>
      </w:r>
    </w:p>
    <w:p w14:paraId="71F31733" w14:textId="77777777" w:rsidR="00B73504" w:rsidRPr="00B73504" w:rsidRDefault="00B73504" w:rsidP="00B73504">
      <w:pPr>
        <w:pStyle w:val="ListParagraph"/>
        <w:numPr>
          <w:ilvl w:val="0"/>
          <w:numId w:val="7"/>
        </w:numPr>
        <w:rPr>
          <w:rFonts w:ascii="Calibri" w:hAnsi="Calibri" w:cs="Calibri"/>
          <w:sz w:val="22"/>
          <w:szCs w:val="22"/>
        </w:rPr>
      </w:pPr>
      <w:r w:rsidRPr="00B73504">
        <w:rPr>
          <w:rFonts w:ascii="Calibri" w:hAnsi="Calibri" w:cs="Calibri"/>
          <w:sz w:val="22"/>
          <w:szCs w:val="22"/>
        </w:rPr>
        <w:t>Concern: Political instability, changes in government leadership, or policy uncertainties may create business risks and market volatility.</w:t>
      </w:r>
    </w:p>
    <w:p w14:paraId="15CDF910" w14:textId="77777777" w:rsidR="00B73504" w:rsidRPr="00B73504" w:rsidRDefault="00B73504" w:rsidP="00B73504">
      <w:pPr>
        <w:pStyle w:val="ListParagraph"/>
        <w:numPr>
          <w:ilvl w:val="0"/>
          <w:numId w:val="7"/>
        </w:numPr>
        <w:rPr>
          <w:rFonts w:ascii="Calibri" w:hAnsi="Calibri" w:cs="Calibri"/>
          <w:sz w:val="22"/>
          <w:szCs w:val="22"/>
        </w:rPr>
      </w:pPr>
      <w:r w:rsidRPr="00B73504">
        <w:rPr>
          <w:rFonts w:ascii="Calibri" w:hAnsi="Calibri" w:cs="Calibri"/>
          <w:sz w:val="22"/>
          <w:szCs w:val="22"/>
        </w:rPr>
        <w:t>Strategy: Monitor political developments, assess geopolitical risks, and develop contingency plans to mitigate the impact of political instability, establish strong relationships with government officials, industry associations, and key stakeholders to navigate political challenges effectively.</w:t>
      </w:r>
    </w:p>
    <w:p w14:paraId="19D8A645" w14:textId="77777777" w:rsidR="00B73504" w:rsidRPr="00B73504" w:rsidRDefault="00B73504" w:rsidP="00B73504">
      <w:pPr>
        <w:rPr>
          <w:rFonts w:ascii="Calibri" w:hAnsi="Calibri" w:cs="Calibri"/>
          <w:sz w:val="22"/>
          <w:szCs w:val="22"/>
        </w:rPr>
      </w:pPr>
      <w:r w:rsidRPr="00B73504">
        <w:rPr>
          <w:rFonts w:ascii="Calibri" w:hAnsi="Calibri" w:cs="Calibri"/>
          <w:sz w:val="22"/>
          <w:szCs w:val="22"/>
        </w:rPr>
        <w:t>Legal and Regulatory Risks:</w:t>
      </w:r>
    </w:p>
    <w:p w14:paraId="276F552C" w14:textId="77777777" w:rsidR="00B73504" w:rsidRPr="00B73504" w:rsidRDefault="00B73504" w:rsidP="00B73504">
      <w:pPr>
        <w:pStyle w:val="ListParagraph"/>
        <w:numPr>
          <w:ilvl w:val="0"/>
          <w:numId w:val="8"/>
        </w:numPr>
        <w:rPr>
          <w:rFonts w:ascii="Calibri" w:hAnsi="Calibri" w:cs="Calibri"/>
          <w:sz w:val="22"/>
          <w:szCs w:val="22"/>
        </w:rPr>
      </w:pPr>
      <w:r w:rsidRPr="00B73504">
        <w:rPr>
          <w:rFonts w:ascii="Calibri" w:hAnsi="Calibri" w:cs="Calibri"/>
          <w:sz w:val="22"/>
          <w:szCs w:val="22"/>
        </w:rPr>
        <w:t>Concern: Legal and regulatory risks, such as product liability lawsuits, intellectual property disputes, or antitrust investigations, may result in legal expenses, fines, or reputational damage.</w:t>
      </w:r>
    </w:p>
    <w:p w14:paraId="752343FC" w14:textId="77777777" w:rsidR="00B73504" w:rsidRPr="00B73504" w:rsidRDefault="00B73504" w:rsidP="00B73504">
      <w:pPr>
        <w:pStyle w:val="ListParagraph"/>
        <w:numPr>
          <w:ilvl w:val="0"/>
          <w:numId w:val="8"/>
        </w:numPr>
        <w:rPr>
          <w:rFonts w:ascii="Calibri" w:hAnsi="Calibri" w:cs="Calibri"/>
          <w:sz w:val="22"/>
          <w:szCs w:val="22"/>
        </w:rPr>
      </w:pPr>
      <w:r w:rsidRPr="00B73504">
        <w:rPr>
          <w:rFonts w:ascii="Calibri" w:hAnsi="Calibri" w:cs="Calibri"/>
          <w:sz w:val="22"/>
          <w:szCs w:val="22"/>
        </w:rPr>
        <w:t>Strategy: Establish comprehensive risk management protocols, obtain appropriate insurance coverage, conduct due diligence on legal and regulatory compliance, and engage legal counsel to address potential legal challenges proactively.</w:t>
      </w:r>
    </w:p>
    <w:p w14:paraId="64F413EE" w14:textId="77777777" w:rsidR="00B73504" w:rsidRPr="00B73504" w:rsidRDefault="00B73504" w:rsidP="00B73504">
      <w:pPr>
        <w:rPr>
          <w:rFonts w:ascii="Calibri" w:hAnsi="Calibri" w:cs="Calibri"/>
          <w:sz w:val="22"/>
          <w:szCs w:val="22"/>
        </w:rPr>
      </w:pPr>
      <w:r w:rsidRPr="00B73504">
        <w:rPr>
          <w:rFonts w:ascii="Calibri" w:hAnsi="Calibri" w:cs="Calibri"/>
          <w:sz w:val="22"/>
          <w:szCs w:val="22"/>
        </w:rPr>
        <w:t>Government Policies and Economic Stimulus Programs:</w:t>
      </w:r>
    </w:p>
    <w:p w14:paraId="02AD7532" w14:textId="77777777" w:rsidR="00B73504" w:rsidRPr="00B73504" w:rsidRDefault="00B73504" w:rsidP="00B73504">
      <w:pPr>
        <w:pStyle w:val="ListParagraph"/>
        <w:numPr>
          <w:ilvl w:val="0"/>
          <w:numId w:val="9"/>
        </w:numPr>
        <w:rPr>
          <w:rFonts w:ascii="Calibri" w:hAnsi="Calibri" w:cs="Calibri"/>
          <w:sz w:val="22"/>
          <w:szCs w:val="22"/>
        </w:rPr>
      </w:pPr>
      <w:r w:rsidRPr="00B73504">
        <w:rPr>
          <w:rFonts w:ascii="Calibri" w:hAnsi="Calibri" w:cs="Calibri"/>
          <w:sz w:val="22"/>
          <w:szCs w:val="22"/>
        </w:rPr>
        <w:t>Concern: Changes in government policies, tax rates, or economic stimulus programs may impact business operations, investment decisions, and industry dynamics.</w:t>
      </w:r>
    </w:p>
    <w:p w14:paraId="5375A993" w14:textId="77777777" w:rsidR="00B73504" w:rsidRPr="00B73504" w:rsidRDefault="00B73504" w:rsidP="00B73504">
      <w:pPr>
        <w:pStyle w:val="ListParagraph"/>
        <w:numPr>
          <w:ilvl w:val="0"/>
          <w:numId w:val="9"/>
        </w:numPr>
        <w:rPr>
          <w:rFonts w:ascii="Calibri" w:hAnsi="Calibri" w:cs="Calibri"/>
          <w:sz w:val="22"/>
          <w:szCs w:val="22"/>
        </w:rPr>
      </w:pPr>
      <w:r w:rsidRPr="00B73504">
        <w:rPr>
          <w:rFonts w:ascii="Calibri" w:hAnsi="Calibri" w:cs="Calibri"/>
          <w:sz w:val="22"/>
          <w:szCs w:val="22"/>
        </w:rPr>
        <w:t>Strategy: Stay informed about government initiatives, leverage economic stimulus programs or grants to support business expansion efforts, and engage in advocacy efforts to influence policy decisions that affect the company's interests.</w:t>
      </w:r>
    </w:p>
    <w:p w14:paraId="63F73EE6" w14:textId="77777777" w:rsidR="00B73504" w:rsidRPr="00B73504" w:rsidRDefault="00B73504" w:rsidP="00B73504">
      <w:pPr>
        <w:rPr>
          <w:rFonts w:ascii="Calibri" w:hAnsi="Calibri" w:cs="Calibri"/>
          <w:sz w:val="22"/>
          <w:szCs w:val="22"/>
        </w:rPr>
      </w:pPr>
    </w:p>
    <w:p w14:paraId="1F34EDE0" w14:textId="77777777" w:rsidR="00B73504" w:rsidRPr="00B73504" w:rsidRDefault="00B73504" w:rsidP="00B73504">
      <w:pPr>
        <w:rPr>
          <w:rFonts w:ascii="Calibri" w:hAnsi="Calibri" w:cs="Calibri"/>
          <w:sz w:val="22"/>
          <w:szCs w:val="22"/>
        </w:rPr>
      </w:pPr>
      <w:r w:rsidRPr="00B73504">
        <w:rPr>
          <w:rFonts w:ascii="Calibri" w:hAnsi="Calibri" w:cs="Calibri"/>
          <w:b/>
          <w:bCs/>
          <w:sz w:val="22"/>
          <w:szCs w:val="22"/>
        </w:rPr>
        <w:t>Social Factors</w:t>
      </w:r>
      <w:r w:rsidRPr="00B73504">
        <w:rPr>
          <w:rFonts w:ascii="Calibri" w:hAnsi="Calibri" w:cs="Calibri"/>
          <w:sz w:val="22"/>
          <w:szCs w:val="22"/>
        </w:rPr>
        <w:t>:</w:t>
      </w:r>
    </w:p>
    <w:p w14:paraId="4C966891" w14:textId="77777777" w:rsidR="00B73504" w:rsidRPr="00B73504" w:rsidRDefault="00B73504" w:rsidP="00B73504">
      <w:pPr>
        <w:rPr>
          <w:rFonts w:ascii="Calibri" w:hAnsi="Calibri" w:cs="Calibri"/>
          <w:sz w:val="22"/>
          <w:szCs w:val="22"/>
        </w:rPr>
      </w:pPr>
      <w:r w:rsidRPr="00B73504">
        <w:rPr>
          <w:rFonts w:ascii="Calibri" w:hAnsi="Calibri" w:cs="Calibri"/>
          <w:sz w:val="22"/>
          <w:szCs w:val="22"/>
        </w:rPr>
        <w:t>Cultural Differences and Consumer Behavior:</w:t>
      </w:r>
    </w:p>
    <w:p w14:paraId="41365360" w14:textId="77777777" w:rsidR="00B73504" w:rsidRPr="00B73504" w:rsidRDefault="00B73504" w:rsidP="00B73504">
      <w:pPr>
        <w:pStyle w:val="ListParagraph"/>
        <w:numPr>
          <w:ilvl w:val="0"/>
          <w:numId w:val="10"/>
        </w:numPr>
        <w:rPr>
          <w:rFonts w:ascii="Calibri" w:hAnsi="Calibri" w:cs="Calibri"/>
          <w:sz w:val="22"/>
          <w:szCs w:val="22"/>
        </w:rPr>
      </w:pPr>
      <w:r w:rsidRPr="00B73504">
        <w:rPr>
          <w:rFonts w:ascii="Calibri" w:hAnsi="Calibri" w:cs="Calibri"/>
          <w:sz w:val="22"/>
          <w:szCs w:val="22"/>
        </w:rPr>
        <w:lastRenderedPageBreak/>
        <w:t>Concern: Cultural differences, consumer preferences, and social norms may influence purchasing decisions and market acceptance of products or services.</w:t>
      </w:r>
    </w:p>
    <w:p w14:paraId="5C295567" w14:textId="77777777" w:rsidR="00B73504" w:rsidRPr="00B73504" w:rsidRDefault="00B73504" w:rsidP="00B73504">
      <w:pPr>
        <w:pStyle w:val="ListParagraph"/>
        <w:numPr>
          <w:ilvl w:val="0"/>
          <w:numId w:val="10"/>
        </w:numPr>
        <w:rPr>
          <w:rFonts w:ascii="Calibri" w:hAnsi="Calibri" w:cs="Calibri"/>
          <w:sz w:val="22"/>
          <w:szCs w:val="22"/>
        </w:rPr>
      </w:pPr>
      <w:r w:rsidRPr="00B73504">
        <w:rPr>
          <w:rFonts w:ascii="Calibri" w:hAnsi="Calibri" w:cs="Calibri"/>
          <w:sz w:val="22"/>
          <w:szCs w:val="22"/>
        </w:rPr>
        <w:t>Strategy: Conduct cultural sensitivity training for employees, customize marketing messages and product offerings to resonate with local preferences, and engage with local communities to build trust and credibility.</w:t>
      </w:r>
    </w:p>
    <w:p w14:paraId="38BE2DDB" w14:textId="77777777" w:rsidR="00B73504" w:rsidRPr="00B73504" w:rsidRDefault="00B73504" w:rsidP="00B73504">
      <w:pPr>
        <w:rPr>
          <w:rFonts w:ascii="Calibri" w:hAnsi="Calibri" w:cs="Calibri"/>
          <w:sz w:val="22"/>
          <w:szCs w:val="22"/>
        </w:rPr>
      </w:pPr>
      <w:r w:rsidRPr="00B73504">
        <w:rPr>
          <w:rFonts w:ascii="Calibri" w:hAnsi="Calibri" w:cs="Calibri"/>
          <w:sz w:val="22"/>
          <w:szCs w:val="22"/>
        </w:rPr>
        <w:t>Labor Market and Workforce Dynamics:</w:t>
      </w:r>
    </w:p>
    <w:p w14:paraId="72F1F170" w14:textId="77777777" w:rsidR="00B73504" w:rsidRPr="00B73504" w:rsidRDefault="00B73504" w:rsidP="00B73504">
      <w:pPr>
        <w:pStyle w:val="ListParagraph"/>
        <w:numPr>
          <w:ilvl w:val="0"/>
          <w:numId w:val="11"/>
        </w:numPr>
        <w:rPr>
          <w:rFonts w:ascii="Calibri" w:hAnsi="Calibri" w:cs="Calibri"/>
          <w:sz w:val="22"/>
          <w:szCs w:val="22"/>
        </w:rPr>
      </w:pPr>
      <w:r w:rsidRPr="00B73504">
        <w:rPr>
          <w:rFonts w:ascii="Calibri" w:hAnsi="Calibri" w:cs="Calibri"/>
          <w:sz w:val="22"/>
          <w:szCs w:val="22"/>
        </w:rPr>
        <w:t>Concern: Differences in labor laws, workforce demographics, and employment practices may impact recruitment, talent retention, and labor costs.</w:t>
      </w:r>
    </w:p>
    <w:p w14:paraId="46C84F72" w14:textId="77777777" w:rsidR="00B73504" w:rsidRPr="00B73504" w:rsidRDefault="00B73504" w:rsidP="00B73504">
      <w:pPr>
        <w:pStyle w:val="ListParagraph"/>
        <w:numPr>
          <w:ilvl w:val="0"/>
          <w:numId w:val="11"/>
        </w:numPr>
        <w:rPr>
          <w:rFonts w:ascii="Calibri" w:hAnsi="Calibri" w:cs="Calibri"/>
          <w:sz w:val="22"/>
          <w:szCs w:val="22"/>
        </w:rPr>
      </w:pPr>
      <w:r w:rsidRPr="00B73504">
        <w:rPr>
          <w:rFonts w:ascii="Calibri" w:hAnsi="Calibri" w:cs="Calibri"/>
          <w:sz w:val="22"/>
          <w:szCs w:val="22"/>
        </w:rPr>
        <w:t>Strategy: Familiarize with U.S. labor laws and regulations, adapt HR policies and practices to comply with local requirements, invest in employee training and development, and establish competitive compensation and benefits packages to attract top talent.</w:t>
      </w:r>
    </w:p>
    <w:p w14:paraId="0D9CA8B3" w14:textId="77777777" w:rsidR="00B73504" w:rsidRPr="00B73504" w:rsidRDefault="00B73504" w:rsidP="00B73504">
      <w:pPr>
        <w:rPr>
          <w:rFonts w:ascii="Calibri" w:hAnsi="Calibri" w:cs="Calibri"/>
          <w:sz w:val="22"/>
          <w:szCs w:val="22"/>
        </w:rPr>
      </w:pPr>
      <w:r w:rsidRPr="00B73504">
        <w:rPr>
          <w:rFonts w:ascii="Calibri" w:hAnsi="Calibri" w:cs="Calibri"/>
          <w:sz w:val="22"/>
          <w:szCs w:val="22"/>
        </w:rPr>
        <w:t>Ethical and Environmental Considerations:</w:t>
      </w:r>
    </w:p>
    <w:p w14:paraId="4E009E2A" w14:textId="77777777" w:rsidR="00B73504" w:rsidRPr="00B73504" w:rsidRDefault="00B73504" w:rsidP="00B73504">
      <w:pPr>
        <w:pStyle w:val="ListParagraph"/>
        <w:numPr>
          <w:ilvl w:val="0"/>
          <w:numId w:val="12"/>
        </w:numPr>
        <w:rPr>
          <w:rFonts w:ascii="Calibri" w:hAnsi="Calibri" w:cs="Calibri"/>
          <w:sz w:val="22"/>
          <w:szCs w:val="22"/>
        </w:rPr>
      </w:pPr>
      <w:r w:rsidRPr="00B73504">
        <w:rPr>
          <w:rFonts w:ascii="Calibri" w:hAnsi="Calibri" w:cs="Calibri"/>
          <w:sz w:val="22"/>
          <w:szCs w:val="22"/>
        </w:rPr>
        <w:t>Concern: Increasing consumer awareness of ethical and environmental issues may influence purchasing decisions and brand perceptions.</w:t>
      </w:r>
    </w:p>
    <w:p w14:paraId="08C08182" w14:textId="77777777" w:rsidR="00B73504" w:rsidRPr="00B73504" w:rsidRDefault="00B73504" w:rsidP="00B73504">
      <w:pPr>
        <w:pStyle w:val="ListParagraph"/>
        <w:numPr>
          <w:ilvl w:val="0"/>
          <w:numId w:val="12"/>
        </w:numPr>
        <w:rPr>
          <w:rFonts w:ascii="Calibri" w:hAnsi="Calibri" w:cs="Calibri"/>
          <w:sz w:val="22"/>
          <w:szCs w:val="22"/>
        </w:rPr>
      </w:pPr>
      <w:r w:rsidRPr="00B73504">
        <w:rPr>
          <w:rFonts w:ascii="Calibri" w:hAnsi="Calibri" w:cs="Calibri"/>
          <w:sz w:val="22"/>
          <w:szCs w:val="22"/>
        </w:rPr>
        <w:t>Strategy: Incorporate sustainable practices into business operations, such as reducing carbon footprint, minimizing waste, and promoting ethical sourcing, communicate corporate social responsibility initiatives to build brand loyalty and attract socially conscious consumers.</w:t>
      </w:r>
    </w:p>
    <w:p w14:paraId="5C35204E" w14:textId="77777777" w:rsidR="00B73504" w:rsidRPr="00B73504" w:rsidRDefault="00B73504" w:rsidP="00B73504">
      <w:pPr>
        <w:rPr>
          <w:rFonts w:ascii="Calibri" w:hAnsi="Calibri" w:cs="Calibri"/>
          <w:sz w:val="22"/>
          <w:szCs w:val="22"/>
        </w:rPr>
      </w:pPr>
      <w:r w:rsidRPr="00B73504">
        <w:rPr>
          <w:rFonts w:ascii="Calibri" w:hAnsi="Calibri" w:cs="Calibri"/>
          <w:sz w:val="22"/>
          <w:szCs w:val="22"/>
        </w:rPr>
        <w:t>Demographic Trends and Diversity:</w:t>
      </w:r>
    </w:p>
    <w:p w14:paraId="7D25467F" w14:textId="77777777" w:rsidR="00B73504" w:rsidRPr="00B73504" w:rsidRDefault="00B73504" w:rsidP="00B73504">
      <w:pPr>
        <w:pStyle w:val="ListParagraph"/>
        <w:numPr>
          <w:ilvl w:val="0"/>
          <w:numId w:val="13"/>
        </w:numPr>
        <w:rPr>
          <w:rFonts w:ascii="Calibri" w:hAnsi="Calibri" w:cs="Calibri"/>
          <w:sz w:val="22"/>
          <w:szCs w:val="22"/>
        </w:rPr>
      </w:pPr>
      <w:r w:rsidRPr="00B73504">
        <w:rPr>
          <w:rFonts w:ascii="Calibri" w:hAnsi="Calibri" w:cs="Calibri"/>
          <w:sz w:val="22"/>
          <w:szCs w:val="22"/>
        </w:rPr>
        <w:t>Concern: Demographic shifts, cultural diversity, and changing population dynamics may impact market segmentation, workforce composition, and consumer behavior.</w:t>
      </w:r>
    </w:p>
    <w:p w14:paraId="1A0E6123" w14:textId="77777777" w:rsidR="00B73504" w:rsidRPr="00B73504" w:rsidRDefault="00B73504" w:rsidP="00B73504">
      <w:pPr>
        <w:pStyle w:val="ListParagraph"/>
        <w:numPr>
          <w:ilvl w:val="0"/>
          <w:numId w:val="13"/>
        </w:numPr>
        <w:rPr>
          <w:rFonts w:ascii="Calibri" w:hAnsi="Calibri" w:cs="Calibri"/>
          <w:sz w:val="22"/>
          <w:szCs w:val="22"/>
        </w:rPr>
      </w:pPr>
      <w:r w:rsidRPr="00B73504">
        <w:rPr>
          <w:rFonts w:ascii="Calibri" w:hAnsi="Calibri" w:cs="Calibri"/>
          <w:sz w:val="22"/>
          <w:szCs w:val="22"/>
        </w:rPr>
        <w:t>Strategy: Conduct demographic research to understand target demographics and cultural nuances, develop inclusive marketing campaigns that resonate with diverse audiences, and foster a diverse and inclusive workplace culture to attract and retain talent from different backgrounds.</w:t>
      </w:r>
    </w:p>
    <w:p w14:paraId="1E63B3BD" w14:textId="77777777" w:rsidR="00BD4BD9" w:rsidRPr="00B73504" w:rsidRDefault="00BD4BD9">
      <w:pPr>
        <w:rPr>
          <w:rFonts w:ascii="Calibri" w:hAnsi="Calibri" w:cs="Calibri"/>
          <w:sz w:val="22"/>
          <w:szCs w:val="22"/>
        </w:rPr>
      </w:pPr>
    </w:p>
    <w:sectPr w:rsidR="00BD4BD9" w:rsidRPr="00B735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8D5F50"/>
    <w:multiLevelType w:val="hybridMultilevel"/>
    <w:tmpl w:val="73CCEB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234FF5"/>
    <w:multiLevelType w:val="hybridMultilevel"/>
    <w:tmpl w:val="5986D7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DD02FC"/>
    <w:multiLevelType w:val="hybridMultilevel"/>
    <w:tmpl w:val="56F6A5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F6673E6"/>
    <w:multiLevelType w:val="hybridMultilevel"/>
    <w:tmpl w:val="05C0D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7781263"/>
    <w:multiLevelType w:val="hybridMultilevel"/>
    <w:tmpl w:val="23445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8105F4B"/>
    <w:multiLevelType w:val="hybridMultilevel"/>
    <w:tmpl w:val="047A3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EE31DC"/>
    <w:multiLevelType w:val="hybridMultilevel"/>
    <w:tmpl w:val="FDA64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D35D79"/>
    <w:multiLevelType w:val="hybridMultilevel"/>
    <w:tmpl w:val="8BB298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DAA7D69"/>
    <w:multiLevelType w:val="hybridMultilevel"/>
    <w:tmpl w:val="D44C1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712783B"/>
    <w:multiLevelType w:val="hybridMultilevel"/>
    <w:tmpl w:val="5FBE59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B09040F"/>
    <w:multiLevelType w:val="hybridMultilevel"/>
    <w:tmpl w:val="D082B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93F47E7"/>
    <w:multiLevelType w:val="hybridMultilevel"/>
    <w:tmpl w:val="4AD656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ECE7818"/>
    <w:multiLevelType w:val="hybridMultilevel"/>
    <w:tmpl w:val="04580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72663319">
    <w:abstractNumId w:val="3"/>
  </w:num>
  <w:num w:numId="2" w16cid:durableId="871571027">
    <w:abstractNumId w:val="12"/>
  </w:num>
  <w:num w:numId="3" w16cid:durableId="1719625562">
    <w:abstractNumId w:val="2"/>
  </w:num>
  <w:num w:numId="4" w16cid:durableId="2044161590">
    <w:abstractNumId w:val="9"/>
  </w:num>
  <w:num w:numId="5" w16cid:durableId="1695571773">
    <w:abstractNumId w:val="11"/>
  </w:num>
  <w:num w:numId="6" w16cid:durableId="868225533">
    <w:abstractNumId w:val="4"/>
  </w:num>
  <w:num w:numId="7" w16cid:durableId="6443870">
    <w:abstractNumId w:val="0"/>
  </w:num>
  <w:num w:numId="8" w16cid:durableId="843982444">
    <w:abstractNumId w:val="5"/>
  </w:num>
  <w:num w:numId="9" w16cid:durableId="651910015">
    <w:abstractNumId w:val="6"/>
  </w:num>
  <w:num w:numId="10" w16cid:durableId="371150069">
    <w:abstractNumId w:val="1"/>
  </w:num>
  <w:num w:numId="11" w16cid:durableId="1398825936">
    <w:abstractNumId w:val="10"/>
  </w:num>
  <w:num w:numId="12" w16cid:durableId="912935599">
    <w:abstractNumId w:val="8"/>
  </w:num>
  <w:num w:numId="13" w16cid:durableId="409130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504"/>
    <w:rsid w:val="00B175BC"/>
    <w:rsid w:val="00B73504"/>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935C10"/>
  <w15:chartTrackingRefBased/>
  <w15:docId w15:val="{3882817F-AA13-4558-82CA-318AAE8A9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735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735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735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735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735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735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735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735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735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35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735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735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735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735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735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735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735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73504"/>
    <w:rPr>
      <w:rFonts w:eastAsiaTheme="majorEastAsia" w:cstheme="majorBidi"/>
      <w:color w:val="272727" w:themeColor="text1" w:themeTint="D8"/>
    </w:rPr>
  </w:style>
  <w:style w:type="paragraph" w:styleId="Title">
    <w:name w:val="Title"/>
    <w:basedOn w:val="Normal"/>
    <w:next w:val="Normal"/>
    <w:link w:val="TitleChar"/>
    <w:uiPriority w:val="10"/>
    <w:qFormat/>
    <w:rsid w:val="00B735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35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735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735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73504"/>
    <w:pPr>
      <w:spacing w:before="160"/>
      <w:jc w:val="center"/>
    </w:pPr>
    <w:rPr>
      <w:i/>
      <w:iCs/>
      <w:color w:val="404040" w:themeColor="text1" w:themeTint="BF"/>
    </w:rPr>
  </w:style>
  <w:style w:type="character" w:customStyle="1" w:styleId="QuoteChar">
    <w:name w:val="Quote Char"/>
    <w:basedOn w:val="DefaultParagraphFont"/>
    <w:link w:val="Quote"/>
    <w:uiPriority w:val="29"/>
    <w:rsid w:val="00B73504"/>
    <w:rPr>
      <w:i/>
      <w:iCs/>
      <w:color w:val="404040" w:themeColor="text1" w:themeTint="BF"/>
    </w:rPr>
  </w:style>
  <w:style w:type="paragraph" w:styleId="ListParagraph">
    <w:name w:val="List Paragraph"/>
    <w:basedOn w:val="Normal"/>
    <w:uiPriority w:val="34"/>
    <w:qFormat/>
    <w:rsid w:val="00B73504"/>
    <w:pPr>
      <w:ind w:left="720"/>
      <w:contextualSpacing/>
    </w:pPr>
  </w:style>
  <w:style w:type="character" w:styleId="IntenseEmphasis">
    <w:name w:val="Intense Emphasis"/>
    <w:basedOn w:val="DefaultParagraphFont"/>
    <w:uiPriority w:val="21"/>
    <w:qFormat/>
    <w:rsid w:val="00B73504"/>
    <w:rPr>
      <w:i/>
      <w:iCs/>
      <w:color w:val="0F4761" w:themeColor="accent1" w:themeShade="BF"/>
    </w:rPr>
  </w:style>
  <w:style w:type="paragraph" w:styleId="IntenseQuote">
    <w:name w:val="Intense Quote"/>
    <w:basedOn w:val="Normal"/>
    <w:next w:val="Normal"/>
    <w:link w:val="IntenseQuoteChar"/>
    <w:uiPriority w:val="30"/>
    <w:qFormat/>
    <w:rsid w:val="00B735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73504"/>
    <w:rPr>
      <w:i/>
      <w:iCs/>
      <w:color w:val="0F4761" w:themeColor="accent1" w:themeShade="BF"/>
    </w:rPr>
  </w:style>
  <w:style w:type="character" w:styleId="IntenseReference">
    <w:name w:val="Intense Reference"/>
    <w:basedOn w:val="DefaultParagraphFont"/>
    <w:uiPriority w:val="32"/>
    <w:qFormat/>
    <w:rsid w:val="00B7350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750</TotalTime>
  <Pages>3</Pages>
  <Words>868</Words>
  <Characters>4948</Characters>
  <Application>Microsoft Office Word</Application>
  <DocSecurity>0</DocSecurity>
  <Lines>41</Lines>
  <Paragraphs>11</Paragraphs>
  <ScaleCrop>false</ScaleCrop>
  <Company/>
  <LinksUpToDate>false</LinksUpToDate>
  <CharactersWithSpaces>5805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2024-05-08T01:18:00Z</dcterms:created>
  <dcterms:modified xsi:type="dcterms:W3CDTF">2024-05-08T13:48:00Z</dcterms:modified>
</cp:coreProperties>
</file>