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85610A" w14:textId="77777777" w:rsidR="004677B6" w:rsidRPr="004677B6" w:rsidRDefault="004677B6" w:rsidP="004677B6">
      <w:pPr>
        <w:rPr>
          <w:rFonts w:ascii="Calibri" w:hAnsi="Calibri" w:cs="Calibri"/>
          <w:b/>
          <w:bCs/>
          <w:sz w:val="22"/>
          <w:szCs w:val="22"/>
        </w:rPr>
      </w:pPr>
      <w:r w:rsidRPr="004677B6">
        <w:rPr>
          <w:rFonts w:ascii="Calibri" w:hAnsi="Calibri" w:cs="Calibri"/>
          <w:b/>
          <w:bCs/>
          <w:sz w:val="22"/>
          <w:szCs w:val="22"/>
        </w:rPr>
        <w:t>Guide to Equity Allocation and Ownership Percentages</w:t>
      </w:r>
    </w:p>
    <w:p w14:paraId="5AE87354" w14:textId="77777777" w:rsidR="004677B6" w:rsidRPr="004677B6" w:rsidRDefault="004677B6" w:rsidP="004677B6">
      <w:pPr>
        <w:rPr>
          <w:rFonts w:ascii="Calibri" w:hAnsi="Calibri" w:cs="Calibri"/>
          <w:sz w:val="22"/>
          <w:szCs w:val="22"/>
        </w:rPr>
      </w:pPr>
    </w:p>
    <w:p w14:paraId="229D4E49" w14:textId="77777777" w:rsidR="004677B6" w:rsidRPr="004677B6" w:rsidRDefault="004677B6" w:rsidP="004677B6">
      <w:pPr>
        <w:rPr>
          <w:rFonts w:ascii="Calibri" w:hAnsi="Calibri" w:cs="Calibri"/>
          <w:sz w:val="22"/>
          <w:szCs w:val="22"/>
        </w:rPr>
      </w:pPr>
      <w:r w:rsidRPr="004677B6">
        <w:rPr>
          <w:rFonts w:ascii="Calibri" w:hAnsi="Calibri" w:cs="Calibri"/>
          <w:sz w:val="22"/>
          <w:szCs w:val="22"/>
        </w:rPr>
        <w:t>Introduction:</w:t>
      </w:r>
    </w:p>
    <w:p w14:paraId="7932C4DD" w14:textId="05091359" w:rsidR="004677B6" w:rsidRPr="004677B6" w:rsidRDefault="004677B6" w:rsidP="004677B6">
      <w:pPr>
        <w:rPr>
          <w:rFonts w:ascii="Calibri" w:hAnsi="Calibri" w:cs="Calibri"/>
          <w:sz w:val="22"/>
          <w:szCs w:val="22"/>
        </w:rPr>
      </w:pPr>
      <w:r w:rsidRPr="004677B6">
        <w:rPr>
          <w:rFonts w:ascii="Calibri" w:hAnsi="Calibri" w:cs="Calibri"/>
          <w:sz w:val="22"/>
          <w:szCs w:val="22"/>
        </w:rPr>
        <w:t>Equity allocation is a critical aspect of structuring a business, determining the ownership percentages among stakeholders. This guide provides a comprehensive framework for entrepreneurs and stakeholders to navigate the process of equity allocation effectively.</w:t>
      </w:r>
    </w:p>
    <w:p w14:paraId="31158C0E" w14:textId="4837F215" w:rsidR="004677B6" w:rsidRPr="004677B6" w:rsidRDefault="004677B6" w:rsidP="004677B6">
      <w:pPr>
        <w:rPr>
          <w:rFonts w:ascii="Calibri" w:hAnsi="Calibri" w:cs="Calibri"/>
          <w:sz w:val="22"/>
          <w:szCs w:val="22"/>
        </w:rPr>
      </w:pPr>
      <w:r w:rsidRPr="004677B6">
        <w:rPr>
          <w:rFonts w:ascii="Calibri" w:hAnsi="Calibri" w:cs="Calibri"/>
          <w:sz w:val="22"/>
          <w:szCs w:val="22"/>
        </w:rPr>
        <w:t>1. Understand the Value Proposition:</w:t>
      </w:r>
    </w:p>
    <w:p w14:paraId="22AAC15D" w14:textId="77777777" w:rsidR="004677B6" w:rsidRPr="004677B6" w:rsidRDefault="004677B6" w:rsidP="004677B6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4677B6">
        <w:rPr>
          <w:rFonts w:ascii="Calibri" w:hAnsi="Calibri" w:cs="Calibri"/>
          <w:sz w:val="22"/>
          <w:szCs w:val="22"/>
        </w:rPr>
        <w:t>Define the unique offering of the business and its differentiation from competitors.</w:t>
      </w:r>
    </w:p>
    <w:p w14:paraId="0BC8E32E" w14:textId="77777777" w:rsidR="004677B6" w:rsidRPr="004677B6" w:rsidRDefault="004677B6" w:rsidP="004677B6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4677B6">
        <w:rPr>
          <w:rFonts w:ascii="Calibri" w:hAnsi="Calibri" w:cs="Calibri"/>
          <w:sz w:val="22"/>
          <w:szCs w:val="22"/>
        </w:rPr>
        <w:t>Recognize the value proposition's role in attracting investors and justifying equity allocation.</w:t>
      </w:r>
    </w:p>
    <w:p w14:paraId="498EB987" w14:textId="61FF0D7F" w:rsidR="004677B6" w:rsidRPr="004677B6" w:rsidRDefault="004677B6" w:rsidP="004677B6">
      <w:pPr>
        <w:rPr>
          <w:rFonts w:ascii="Calibri" w:hAnsi="Calibri" w:cs="Calibri"/>
          <w:sz w:val="22"/>
          <w:szCs w:val="22"/>
        </w:rPr>
      </w:pPr>
      <w:r w:rsidRPr="004677B6">
        <w:rPr>
          <w:rFonts w:ascii="Calibri" w:hAnsi="Calibri" w:cs="Calibri"/>
          <w:sz w:val="22"/>
          <w:szCs w:val="22"/>
        </w:rPr>
        <w:t>2. Assess Stakeholder Contributions:</w:t>
      </w:r>
    </w:p>
    <w:p w14:paraId="03705367" w14:textId="77777777" w:rsidR="004677B6" w:rsidRPr="004677B6" w:rsidRDefault="004677B6" w:rsidP="004677B6">
      <w:pPr>
        <w:pStyle w:val="ListParagraph"/>
        <w:numPr>
          <w:ilvl w:val="0"/>
          <w:numId w:val="2"/>
        </w:numPr>
        <w:rPr>
          <w:rFonts w:ascii="Calibri" w:hAnsi="Calibri" w:cs="Calibri"/>
          <w:sz w:val="22"/>
          <w:szCs w:val="22"/>
        </w:rPr>
      </w:pPr>
      <w:r w:rsidRPr="004677B6">
        <w:rPr>
          <w:rFonts w:ascii="Calibri" w:hAnsi="Calibri" w:cs="Calibri"/>
          <w:sz w:val="22"/>
          <w:szCs w:val="22"/>
        </w:rPr>
        <w:t>Consider financial investments, expertise, skills, and resources brought to the business by each stakeholder.</w:t>
      </w:r>
    </w:p>
    <w:p w14:paraId="073C445A" w14:textId="77777777" w:rsidR="004677B6" w:rsidRPr="004677B6" w:rsidRDefault="004677B6" w:rsidP="004677B6">
      <w:pPr>
        <w:pStyle w:val="ListParagraph"/>
        <w:numPr>
          <w:ilvl w:val="0"/>
          <w:numId w:val="2"/>
        </w:numPr>
        <w:rPr>
          <w:rFonts w:ascii="Calibri" w:hAnsi="Calibri" w:cs="Calibri"/>
          <w:sz w:val="22"/>
          <w:szCs w:val="22"/>
        </w:rPr>
      </w:pPr>
      <w:r w:rsidRPr="004677B6">
        <w:rPr>
          <w:rFonts w:ascii="Calibri" w:hAnsi="Calibri" w:cs="Calibri"/>
          <w:sz w:val="22"/>
          <w:szCs w:val="22"/>
        </w:rPr>
        <w:t>Recognize the efforts of founders who invest time, knowledge, and hard work into building the business.</w:t>
      </w:r>
    </w:p>
    <w:p w14:paraId="413906C4" w14:textId="0232603E" w:rsidR="004677B6" w:rsidRPr="004677B6" w:rsidRDefault="004677B6" w:rsidP="004677B6">
      <w:pPr>
        <w:rPr>
          <w:rFonts w:ascii="Calibri" w:hAnsi="Calibri" w:cs="Calibri"/>
          <w:sz w:val="22"/>
          <w:szCs w:val="22"/>
        </w:rPr>
      </w:pPr>
      <w:r w:rsidRPr="004677B6">
        <w:rPr>
          <w:rFonts w:ascii="Calibri" w:hAnsi="Calibri" w:cs="Calibri"/>
          <w:sz w:val="22"/>
          <w:szCs w:val="22"/>
        </w:rPr>
        <w:t>3. Foster Open Communication:</w:t>
      </w:r>
    </w:p>
    <w:p w14:paraId="43C56611" w14:textId="77777777" w:rsidR="004677B6" w:rsidRPr="004677B6" w:rsidRDefault="004677B6" w:rsidP="004677B6">
      <w:pPr>
        <w:pStyle w:val="ListParagraph"/>
        <w:numPr>
          <w:ilvl w:val="0"/>
          <w:numId w:val="3"/>
        </w:numPr>
        <w:rPr>
          <w:rFonts w:ascii="Calibri" w:hAnsi="Calibri" w:cs="Calibri"/>
          <w:sz w:val="22"/>
          <w:szCs w:val="22"/>
        </w:rPr>
      </w:pPr>
      <w:r w:rsidRPr="004677B6">
        <w:rPr>
          <w:rFonts w:ascii="Calibri" w:hAnsi="Calibri" w:cs="Calibri"/>
          <w:sz w:val="22"/>
          <w:szCs w:val="22"/>
        </w:rPr>
        <w:t>Facilitate transparent discussions about expectations, goals, and the long-term vision for the business.</w:t>
      </w:r>
    </w:p>
    <w:p w14:paraId="06E9845A" w14:textId="77777777" w:rsidR="004677B6" w:rsidRPr="004677B6" w:rsidRDefault="004677B6" w:rsidP="004677B6">
      <w:pPr>
        <w:pStyle w:val="ListParagraph"/>
        <w:numPr>
          <w:ilvl w:val="0"/>
          <w:numId w:val="3"/>
        </w:numPr>
        <w:rPr>
          <w:rFonts w:ascii="Calibri" w:hAnsi="Calibri" w:cs="Calibri"/>
          <w:sz w:val="22"/>
          <w:szCs w:val="22"/>
        </w:rPr>
      </w:pPr>
      <w:r w:rsidRPr="004677B6">
        <w:rPr>
          <w:rFonts w:ascii="Calibri" w:hAnsi="Calibri" w:cs="Calibri"/>
          <w:sz w:val="22"/>
          <w:szCs w:val="22"/>
        </w:rPr>
        <w:t>Ensure alignment of interests and find common ground among stakeholders.</w:t>
      </w:r>
    </w:p>
    <w:p w14:paraId="28B9C42E" w14:textId="6F500CEA" w:rsidR="004677B6" w:rsidRPr="004677B6" w:rsidRDefault="004677B6" w:rsidP="004677B6">
      <w:pPr>
        <w:rPr>
          <w:rFonts w:ascii="Calibri" w:hAnsi="Calibri" w:cs="Calibri"/>
          <w:sz w:val="22"/>
          <w:szCs w:val="22"/>
        </w:rPr>
      </w:pPr>
      <w:r w:rsidRPr="004677B6">
        <w:rPr>
          <w:rFonts w:ascii="Calibri" w:hAnsi="Calibri" w:cs="Calibri"/>
          <w:sz w:val="22"/>
          <w:szCs w:val="22"/>
        </w:rPr>
        <w:t>4. Determine Ownership Percentages:</w:t>
      </w:r>
    </w:p>
    <w:p w14:paraId="79A7EBE1" w14:textId="15A01820" w:rsidR="004677B6" w:rsidRPr="004677B6" w:rsidRDefault="004677B6" w:rsidP="004677B6">
      <w:pPr>
        <w:pStyle w:val="ListParagraph"/>
        <w:numPr>
          <w:ilvl w:val="0"/>
          <w:numId w:val="4"/>
        </w:numPr>
        <w:rPr>
          <w:rFonts w:ascii="Calibri" w:hAnsi="Calibri" w:cs="Calibri"/>
          <w:sz w:val="22"/>
          <w:szCs w:val="22"/>
        </w:rPr>
      </w:pPr>
      <w:r w:rsidRPr="004677B6">
        <w:rPr>
          <w:rFonts w:ascii="Calibri" w:hAnsi="Calibri" w:cs="Calibri"/>
          <w:sz w:val="22"/>
          <w:szCs w:val="22"/>
        </w:rPr>
        <w:t>Base ownership percentages on capital invested but consider other factors such as expertise and industry success.</w:t>
      </w:r>
    </w:p>
    <w:p w14:paraId="3A110868" w14:textId="77777777" w:rsidR="004677B6" w:rsidRPr="004677B6" w:rsidRDefault="004677B6" w:rsidP="004677B6">
      <w:pPr>
        <w:pStyle w:val="ListParagraph"/>
        <w:numPr>
          <w:ilvl w:val="0"/>
          <w:numId w:val="4"/>
        </w:numPr>
        <w:rPr>
          <w:rFonts w:ascii="Calibri" w:hAnsi="Calibri" w:cs="Calibri"/>
          <w:sz w:val="22"/>
          <w:szCs w:val="22"/>
        </w:rPr>
      </w:pPr>
      <w:r w:rsidRPr="004677B6">
        <w:rPr>
          <w:rFonts w:ascii="Calibri" w:hAnsi="Calibri" w:cs="Calibri"/>
          <w:sz w:val="22"/>
          <w:szCs w:val="22"/>
        </w:rPr>
        <w:t>Strike a balance between rewarding contributions and maintaining a reasonable distribution of ownership.</w:t>
      </w:r>
    </w:p>
    <w:p w14:paraId="4CA51E2E" w14:textId="6E8E89A7" w:rsidR="004677B6" w:rsidRPr="004677B6" w:rsidRDefault="004677B6" w:rsidP="004677B6">
      <w:pPr>
        <w:rPr>
          <w:rFonts w:ascii="Calibri" w:hAnsi="Calibri" w:cs="Calibri"/>
          <w:sz w:val="22"/>
          <w:szCs w:val="22"/>
        </w:rPr>
      </w:pPr>
      <w:r w:rsidRPr="004677B6">
        <w:rPr>
          <w:rFonts w:ascii="Calibri" w:hAnsi="Calibri" w:cs="Calibri"/>
          <w:sz w:val="22"/>
          <w:szCs w:val="22"/>
        </w:rPr>
        <w:t>5. Plan for Future Needs and Growth:</w:t>
      </w:r>
    </w:p>
    <w:p w14:paraId="758398DC" w14:textId="77777777" w:rsidR="004677B6" w:rsidRPr="004677B6" w:rsidRDefault="004677B6" w:rsidP="004677B6">
      <w:pPr>
        <w:pStyle w:val="ListParagraph"/>
        <w:numPr>
          <w:ilvl w:val="0"/>
          <w:numId w:val="5"/>
        </w:numPr>
        <w:rPr>
          <w:rFonts w:ascii="Calibri" w:hAnsi="Calibri" w:cs="Calibri"/>
          <w:sz w:val="22"/>
          <w:szCs w:val="22"/>
        </w:rPr>
      </w:pPr>
      <w:r w:rsidRPr="004677B6">
        <w:rPr>
          <w:rFonts w:ascii="Calibri" w:hAnsi="Calibri" w:cs="Calibri"/>
          <w:sz w:val="22"/>
          <w:szCs w:val="22"/>
        </w:rPr>
        <w:t>Anticipate future financing rounds and potential influx of capital.</w:t>
      </w:r>
    </w:p>
    <w:p w14:paraId="548C1B12" w14:textId="77777777" w:rsidR="004677B6" w:rsidRPr="004677B6" w:rsidRDefault="004677B6" w:rsidP="004677B6">
      <w:pPr>
        <w:pStyle w:val="ListParagraph"/>
        <w:numPr>
          <w:ilvl w:val="0"/>
          <w:numId w:val="5"/>
        </w:numPr>
        <w:rPr>
          <w:rFonts w:ascii="Calibri" w:hAnsi="Calibri" w:cs="Calibri"/>
          <w:sz w:val="22"/>
          <w:szCs w:val="22"/>
        </w:rPr>
      </w:pPr>
      <w:r w:rsidRPr="004677B6">
        <w:rPr>
          <w:rFonts w:ascii="Calibri" w:hAnsi="Calibri" w:cs="Calibri"/>
          <w:sz w:val="22"/>
          <w:szCs w:val="22"/>
        </w:rPr>
        <w:t>Leave room for equity dilution to accommodate changing dynamics and growth opportunities.</w:t>
      </w:r>
    </w:p>
    <w:p w14:paraId="34097A77" w14:textId="4BF00D49" w:rsidR="004677B6" w:rsidRPr="004677B6" w:rsidRDefault="004677B6" w:rsidP="004677B6">
      <w:pPr>
        <w:rPr>
          <w:rFonts w:ascii="Calibri" w:hAnsi="Calibri" w:cs="Calibri"/>
          <w:sz w:val="22"/>
          <w:szCs w:val="22"/>
        </w:rPr>
      </w:pPr>
      <w:r w:rsidRPr="004677B6">
        <w:rPr>
          <w:rFonts w:ascii="Calibri" w:hAnsi="Calibri" w:cs="Calibri"/>
          <w:sz w:val="22"/>
          <w:szCs w:val="22"/>
        </w:rPr>
        <w:t>6. Adopt a Long-Term Perspective:</w:t>
      </w:r>
    </w:p>
    <w:p w14:paraId="6AABF707" w14:textId="77777777" w:rsidR="004677B6" w:rsidRPr="004677B6" w:rsidRDefault="004677B6" w:rsidP="004677B6">
      <w:pPr>
        <w:pStyle w:val="ListParagraph"/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 w:rsidRPr="004677B6">
        <w:rPr>
          <w:rFonts w:ascii="Calibri" w:hAnsi="Calibri" w:cs="Calibri"/>
          <w:sz w:val="22"/>
          <w:szCs w:val="22"/>
        </w:rPr>
        <w:t>Consider the business's future trajectory and the potential benefits of supportive and experienced investors.</w:t>
      </w:r>
    </w:p>
    <w:p w14:paraId="6230B28A" w14:textId="77777777" w:rsidR="004677B6" w:rsidRPr="004677B6" w:rsidRDefault="004677B6" w:rsidP="004677B6">
      <w:pPr>
        <w:pStyle w:val="ListParagraph"/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 w:rsidRPr="004677B6">
        <w:rPr>
          <w:rFonts w:ascii="Calibri" w:hAnsi="Calibri" w:cs="Calibri"/>
          <w:sz w:val="22"/>
          <w:szCs w:val="22"/>
        </w:rPr>
        <w:t>Balance the desire to retain ownership with the advantages of strategic partnerships and investments.</w:t>
      </w:r>
    </w:p>
    <w:p w14:paraId="4C4355C8" w14:textId="16F1D575" w:rsidR="004677B6" w:rsidRPr="004677B6" w:rsidRDefault="004677B6" w:rsidP="004677B6">
      <w:pPr>
        <w:rPr>
          <w:rFonts w:ascii="Calibri" w:hAnsi="Calibri" w:cs="Calibri"/>
          <w:sz w:val="22"/>
          <w:szCs w:val="22"/>
        </w:rPr>
      </w:pPr>
      <w:r w:rsidRPr="004677B6">
        <w:rPr>
          <w:rFonts w:ascii="Calibri" w:hAnsi="Calibri" w:cs="Calibri"/>
          <w:sz w:val="22"/>
          <w:szCs w:val="22"/>
        </w:rPr>
        <w:t>7. Ensure Legal Compliance:</w:t>
      </w:r>
    </w:p>
    <w:p w14:paraId="4E3EB0F3" w14:textId="77777777" w:rsidR="004677B6" w:rsidRPr="004677B6" w:rsidRDefault="004677B6" w:rsidP="004677B6">
      <w:pPr>
        <w:pStyle w:val="ListParagraph"/>
        <w:numPr>
          <w:ilvl w:val="0"/>
          <w:numId w:val="7"/>
        </w:numPr>
        <w:rPr>
          <w:rFonts w:ascii="Calibri" w:hAnsi="Calibri" w:cs="Calibri"/>
          <w:sz w:val="22"/>
          <w:szCs w:val="22"/>
        </w:rPr>
      </w:pPr>
      <w:r w:rsidRPr="004677B6">
        <w:rPr>
          <w:rFonts w:ascii="Calibri" w:hAnsi="Calibri" w:cs="Calibri"/>
          <w:sz w:val="22"/>
          <w:szCs w:val="22"/>
        </w:rPr>
        <w:lastRenderedPageBreak/>
        <w:t>Engage legal professionals to draft appropriate agreements and documents.</w:t>
      </w:r>
    </w:p>
    <w:p w14:paraId="561730AB" w14:textId="77777777" w:rsidR="004677B6" w:rsidRPr="004677B6" w:rsidRDefault="004677B6" w:rsidP="004677B6">
      <w:pPr>
        <w:pStyle w:val="ListParagraph"/>
        <w:numPr>
          <w:ilvl w:val="0"/>
          <w:numId w:val="7"/>
        </w:numPr>
        <w:rPr>
          <w:rFonts w:ascii="Calibri" w:hAnsi="Calibri" w:cs="Calibri"/>
          <w:sz w:val="22"/>
          <w:szCs w:val="22"/>
        </w:rPr>
      </w:pPr>
      <w:r w:rsidRPr="004677B6">
        <w:rPr>
          <w:rFonts w:ascii="Calibri" w:hAnsi="Calibri" w:cs="Calibri"/>
          <w:sz w:val="22"/>
          <w:szCs w:val="22"/>
        </w:rPr>
        <w:t>Ensure compliance with legal and regulatory requirements to protect the rights of all stakeholders.</w:t>
      </w:r>
    </w:p>
    <w:p w14:paraId="37419775" w14:textId="15AFA506" w:rsidR="004677B6" w:rsidRPr="004677B6" w:rsidRDefault="004677B6" w:rsidP="004677B6">
      <w:pPr>
        <w:rPr>
          <w:rFonts w:ascii="Calibri" w:hAnsi="Calibri" w:cs="Calibri"/>
          <w:sz w:val="22"/>
          <w:szCs w:val="22"/>
        </w:rPr>
      </w:pPr>
      <w:r w:rsidRPr="004677B6">
        <w:rPr>
          <w:rFonts w:ascii="Calibri" w:hAnsi="Calibri" w:cs="Calibri"/>
          <w:sz w:val="22"/>
          <w:szCs w:val="22"/>
        </w:rPr>
        <w:t>8. Examples of Equity Allocation Scenarios:</w:t>
      </w:r>
    </w:p>
    <w:p w14:paraId="6A5C46DB" w14:textId="77777777" w:rsidR="004677B6" w:rsidRPr="004677B6" w:rsidRDefault="004677B6" w:rsidP="004677B6">
      <w:pPr>
        <w:pStyle w:val="ListParagraph"/>
        <w:numPr>
          <w:ilvl w:val="0"/>
          <w:numId w:val="8"/>
        </w:numPr>
        <w:rPr>
          <w:rFonts w:ascii="Calibri" w:hAnsi="Calibri" w:cs="Calibri"/>
          <w:sz w:val="22"/>
          <w:szCs w:val="22"/>
        </w:rPr>
      </w:pPr>
      <w:r w:rsidRPr="004677B6">
        <w:rPr>
          <w:rFonts w:ascii="Calibri" w:hAnsi="Calibri" w:cs="Calibri"/>
          <w:sz w:val="22"/>
          <w:szCs w:val="22"/>
        </w:rPr>
        <w:t>Seed Round Investment: Illustrate equity allocation between founders and investors in a seed funding scenario.</w:t>
      </w:r>
    </w:p>
    <w:p w14:paraId="71173A37" w14:textId="77777777" w:rsidR="004677B6" w:rsidRPr="004677B6" w:rsidRDefault="004677B6" w:rsidP="004677B6">
      <w:pPr>
        <w:pStyle w:val="ListParagraph"/>
        <w:numPr>
          <w:ilvl w:val="0"/>
          <w:numId w:val="8"/>
        </w:numPr>
        <w:rPr>
          <w:rFonts w:ascii="Calibri" w:hAnsi="Calibri" w:cs="Calibri"/>
          <w:sz w:val="22"/>
          <w:szCs w:val="22"/>
        </w:rPr>
      </w:pPr>
      <w:r w:rsidRPr="004677B6">
        <w:rPr>
          <w:rFonts w:ascii="Calibri" w:hAnsi="Calibri" w:cs="Calibri"/>
          <w:sz w:val="22"/>
          <w:szCs w:val="22"/>
        </w:rPr>
        <w:t>Series A Funding with Multiple Investors: Showcase equity distribution among founders and multiple investors in a Series A funding round.</w:t>
      </w:r>
    </w:p>
    <w:p w14:paraId="23213715" w14:textId="77777777" w:rsidR="004677B6" w:rsidRPr="004677B6" w:rsidRDefault="004677B6" w:rsidP="004677B6">
      <w:pPr>
        <w:pStyle w:val="ListParagraph"/>
        <w:numPr>
          <w:ilvl w:val="0"/>
          <w:numId w:val="8"/>
        </w:numPr>
        <w:rPr>
          <w:rFonts w:ascii="Calibri" w:hAnsi="Calibri" w:cs="Calibri"/>
          <w:sz w:val="22"/>
          <w:szCs w:val="22"/>
        </w:rPr>
      </w:pPr>
      <w:r w:rsidRPr="004677B6">
        <w:rPr>
          <w:rFonts w:ascii="Calibri" w:hAnsi="Calibri" w:cs="Calibri"/>
          <w:sz w:val="22"/>
          <w:szCs w:val="22"/>
        </w:rPr>
        <w:t>Strategic Partnership Investment: Demonstrate equity allocation in a strategic partnership between a startup and a larger corporation.</w:t>
      </w:r>
    </w:p>
    <w:p w14:paraId="731BA367" w14:textId="77777777" w:rsidR="004677B6" w:rsidRPr="004677B6" w:rsidRDefault="004677B6" w:rsidP="004677B6">
      <w:pPr>
        <w:rPr>
          <w:rFonts w:ascii="Calibri" w:hAnsi="Calibri" w:cs="Calibri"/>
          <w:sz w:val="22"/>
          <w:szCs w:val="22"/>
        </w:rPr>
      </w:pPr>
      <w:r w:rsidRPr="004677B6">
        <w:rPr>
          <w:rFonts w:ascii="Calibri" w:hAnsi="Calibri" w:cs="Calibri"/>
          <w:sz w:val="22"/>
          <w:szCs w:val="22"/>
        </w:rPr>
        <w:t>Equity allocation and ownership percentages play a pivotal role in shaping the structure and direction of a business. By understanding the value proposition, assessing stakeholder contributions, fostering open communication, and planning for future growth, entrepreneurs can navigate the process of equity allocation effectively. Customizing ownership percentages ensures a fair and mutually beneficial arrangement for all stakeholders involved.</w:t>
      </w:r>
    </w:p>
    <w:p w14:paraId="5084F031" w14:textId="77777777" w:rsidR="00BD4BD9" w:rsidRPr="004677B6" w:rsidRDefault="00BD4BD9">
      <w:pPr>
        <w:rPr>
          <w:rFonts w:ascii="Calibri" w:hAnsi="Calibri" w:cs="Calibri"/>
          <w:sz w:val="22"/>
          <w:szCs w:val="22"/>
        </w:rPr>
      </w:pPr>
    </w:p>
    <w:sectPr w:rsidR="00BD4BD9" w:rsidRPr="004677B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6783F7F"/>
    <w:multiLevelType w:val="hybridMultilevel"/>
    <w:tmpl w:val="40FC5C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159073A"/>
    <w:multiLevelType w:val="hybridMultilevel"/>
    <w:tmpl w:val="B2EA47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31501C9"/>
    <w:multiLevelType w:val="hybridMultilevel"/>
    <w:tmpl w:val="4B685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4CB3E08"/>
    <w:multiLevelType w:val="hybridMultilevel"/>
    <w:tmpl w:val="16F89E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8A33784"/>
    <w:multiLevelType w:val="hybridMultilevel"/>
    <w:tmpl w:val="E18E94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A1471F0"/>
    <w:multiLevelType w:val="hybridMultilevel"/>
    <w:tmpl w:val="B0F2D1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F5E43DD"/>
    <w:multiLevelType w:val="hybridMultilevel"/>
    <w:tmpl w:val="586EF3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E932CA9"/>
    <w:multiLevelType w:val="hybridMultilevel"/>
    <w:tmpl w:val="33688C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25893030">
    <w:abstractNumId w:val="5"/>
  </w:num>
  <w:num w:numId="2" w16cid:durableId="65806570">
    <w:abstractNumId w:val="6"/>
  </w:num>
  <w:num w:numId="3" w16cid:durableId="627587135">
    <w:abstractNumId w:val="7"/>
  </w:num>
  <w:num w:numId="4" w16cid:durableId="660548983">
    <w:abstractNumId w:val="4"/>
  </w:num>
  <w:num w:numId="5" w16cid:durableId="2077581273">
    <w:abstractNumId w:val="1"/>
  </w:num>
  <w:num w:numId="6" w16cid:durableId="2000185199">
    <w:abstractNumId w:val="2"/>
  </w:num>
  <w:num w:numId="7" w16cid:durableId="1593663603">
    <w:abstractNumId w:val="3"/>
  </w:num>
  <w:num w:numId="8" w16cid:durableId="15815954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77B6"/>
    <w:rsid w:val="004677B6"/>
    <w:rsid w:val="00B175BC"/>
    <w:rsid w:val="00BD4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E967BE"/>
  <w15:chartTrackingRefBased/>
  <w15:docId w15:val="{39D82F02-80B9-4E85-8D17-08E6E98B89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677B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677B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677B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677B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677B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677B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677B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677B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677B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77B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677B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677B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677B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677B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677B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677B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677B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677B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677B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677B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677B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677B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677B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677B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677B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677B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677B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677B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677B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1256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415</Words>
  <Characters>2367</Characters>
  <Application>Microsoft Office Word</Application>
  <DocSecurity>0</DocSecurity>
  <Lines>19</Lines>
  <Paragraphs>5</Paragraphs>
  <ScaleCrop>false</ScaleCrop>
  <Company/>
  <LinksUpToDate>false</LinksUpToDate>
  <CharactersWithSpaces>2777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Frank Buonanotte</dc:creator>
  <cp:keywords/>
  <dc:description/>
  <cp:lastModifiedBy>Frank Buonanotte</cp:lastModifiedBy>
  <cp:revision>1</cp:revision>
  <dcterms:created xsi:type="dcterms:W3CDTF">2024-05-07T15:56:00Z</dcterms:created>
  <dcterms:modified xsi:type="dcterms:W3CDTF">2024-05-07T15:57:00Z</dcterms:modified>
</cp:coreProperties>
</file>