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198484" w14:textId="74F24F6B" w:rsidR="006A581C" w:rsidRPr="006A581C" w:rsidRDefault="006A581C" w:rsidP="006A581C">
      <w:pPr>
        <w:rPr>
          <w:rFonts w:ascii="Calibri" w:hAnsi="Calibri" w:cs="Calibri"/>
          <w:b/>
          <w:bCs/>
          <w:sz w:val="22"/>
          <w:szCs w:val="22"/>
        </w:rPr>
      </w:pPr>
      <w:r w:rsidRPr="006A581C">
        <w:rPr>
          <w:rFonts w:ascii="Calibri" w:hAnsi="Calibri" w:cs="Calibri"/>
          <w:b/>
          <w:bCs/>
          <w:sz w:val="22"/>
          <w:szCs w:val="22"/>
        </w:rPr>
        <w:t>Hiring</w:t>
      </w:r>
      <w:r w:rsidRPr="006A581C">
        <w:rPr>
          <w:rFonts w:ascii="Calibri" w:hAnsi="Calibri" w:cs="Calibri"/>
          <w:b/>
          <w:bCs/>
          <w:sz w:val="22"/>
          <w:szCs w:val="22"/>
        </w:rPr>
        <w:t xml:space="preserve"> and </w:t>
      </w:r>
      <w:proofErr w:type="gramStart"/>
      <w:r w:rsidRPr="006A581C">
        <w:rPr>
          <w:rFonts w:ascii="Calibri" w:hAnsi="Calibri" w:cs="Calibri"/>
          <w:b/>
          <w:bCs/>
          <w:sz w:val="22"/>
          <w:szCs w:val="22"/>
        </w:rPr>
        <w:t>Managing</w:t>
      </w:r>
      <w:proofErr w:type="gramEnd"/>
      <w:r w:rsidRPr="006A581C">
        <w:rPr>
          <w:rFonts w:ascii="Calibri" w:hAnsi="Calibri" w:cs="Calibri"/>
          <w:b/>
          <w:bCs/>
          <w:sz w:val="22"/>
          <w:szCs w:val="22"/>
        </w:rPr>
        <w:t xml:space="preserve"> a U.S.-</w:t>
      </w:r>
      <w:r w:rsidRPr="006A581C">
        <w:rPr>
          <w:rFonts w:ascii="Calibri" w:hAnsi="Calibri" w:cs="Calibri"/>
          <w:b/>
          <w:bCs/>
          <w:sz w:val="22"/>
          <w:szCs w:val="22"/>
        </w:rPr>
        <w:t>B</w:t>
      </w:r>
      <w:r w:rsidRPr="006A581C">
        <w:rPr>
          <w:rFonts w:ascii="Calibri" w:hAnsi="Calibri" w:cs="Calibri"/>
          <w:b/>
          <w:bCs/>
          <w:sz w:val="22"/>
          <w:szCs w:val="22"/>
        </w:rPr>
        <w:t xml:space="preserve">ased </w:t>
      </w:r>
      <w:r w:rsidRPr="006A581C">
        <w:rPr>
          <w:rFonts w:ascii="Calibri" w:hAnsi="Calibri" w:cs="Calibri"/>
          <w:b/>
          <w:bCs/>
          <w:sz w:val="22"/>
          <w:szCs w:val="22"/>
        </w:rPr>
        <w:t>W</w:t>
      </w:r>
      <w:r w:rsidRPr="006A581C">
        <w:rPr>
          <w:rFonts w:ascii="Calibri" w:hAnsi="Calibri" w:cs="Calibri"/>
          <w:b/>
          <w:bCs/>
          <w:sz w:val="22"/>
          <w:szCs w:val="22"/>
        </w:rPr>
        <w:t>orkforce</w:t>
      </w:r>
    </w:p>
    <w:p w14:paraId="16FD963F" w14:textId="77777777" w:rsidR="006A581C" w:rsidRPr="006A581C" w:rsidRDefault="006A581C" w:rsidP="006A581C">
      <w:pPr>
        <w:rPr>
          <w:rFonts w:ascii="Calibri" w:hAnsi="Calibri" w:cs="Calibri"/>
          <w:sz w:val="22"/>
          <w:szCs w:val="22"/>
        </w:rPr>
      </w:pPr>
    </w:p>
    <w:p w14:paraId="19799DA5"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Understanding Legal Requirements</w:t>
      </w:r>
      <w:r w:rsidRPr="006A581C">
        <w:rPr>
          <w:rFonts w:ascii="Calibri" w:hAnsi="Calibri" w:cs="Calibri"/>
          <w:sz w:val="22"/>
          <w:szCs w:val="22"/>
        </w:rPr>
        <w:t>:</w:t>
      </w:r>
    </w:p>
    <w:p w14:paraId="69A1839A" w14:textId="77777777" w:rsidR="006A581C" w:rsidRPr="006A581C" w:rsidRDefault="006A581C" w:rsidP="006A581C">
      <w:pPr>
        <w:pStyle w:val="ListParagraph"/>
        <w:numPr>
          <w:ilvl w:val="0"/>
          <w:numId w:val="1"/>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Lack of familiarity with U.S. employment laws, regulations, and labor practices.</w:t>
      </w:r>
    </w:p>
    <w:p w14:paraId="7442A1C7" w14:textId="77777777" w:rsidR="006A581C" w:rsidRPr="006A581C" w:rsidRDefault="006A581C" w:rsidP="006A581C">
      <w:pPr>
        <w:pStyle w:val="ListParagraph"/>
        <w:numPr>
          <w:ilvl w:val="0"/>
          <w:numId w:val="1"/>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Seek legal counsel or HR expertise to understand U.S. employment laws, including requirements related to hiring, wages, benefits, discrimination, and termination.</w:t>
      </w:r>
    </w:p>
    <w:p w14:paraId="3B4552A5"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Obtaining Work Authorization</w:t>
      </w:r>
      <w:r w:rsidRPr="006A581C">
        <w:rPr>
          <w:rFonts w:ascii="Calibri" w:hAnsi="Calibri" w:cs="Calibri"/>
          <w:sz w:val="22"/>
          <w:szCs w:val="22"/>
        </w:rPr>
        <w:t>:</w:t>
      </w:r>
    </w:p>
    <w:p w14:paraId="6D804773" w14:textId="77777777" w:rsidR="006A581C" w:rsidRPr="006A581C" w:rsidRDefault="006A581C" w:rsidP="006A581C">
      <w:pPr>
        <w:pStyle w:val="ListParagraph"/>
        <w:numPr>
          <w:ilvl w:val="0"/>
          <w:numId w:val="2"/>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Difficulty obtaining work authorization for foreign employees to work legally in the U.S.</w:t>
      </w:r>
    </w:p>
    <w:p w14:paraId="6D41F9DD" w14:textId="77777777" w:rsidR="006A581C" w:rsidRPr="006A581C" w:rsidRDefault="006A581C" w:rsidP="006A581C">
      <w:pPr>
        <w:pStyle w:val="ListParagraph"/>
        <w:numPr>
          <w:ilvl w:val="0"/>
          <w:numId w:val="2"/>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Sponsor eligible foreign employees for appropriate visas, such as H-1B for skilled workers, L-1 for intracompany transfers, or TN for Canadian and Mexican professionals under NAFTA.</w:t>
      </w:r>
    </w:p>
    <w:p w14:paraId="171B937E"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Recruiting Talent</w:t>
      </w:r>
      <w:r w:rsidRPr="006A581C">
        <w:rPr>
          <w:rFonts w:ascii="Calibri" w:hAnsi="Calibri" w:cs="Calibri"/>
          <w:sz w:val="22"/>
          <w:szCs w:val="22"/>
        </w:rPr>
        <w:t>:</w:t>
      </w:r>
    </w:p>
    <w:p w14:paraId="17F5F429" w14:textId="77777777" w:rsidR="006A581C" w:rsidRPr="006A581C" w:rsidRDefault="006A581C" w:rsidP="006A581C">
      <w:pPr>
        <w:pStyle w:val="ListParagraph"/>
        <w:numPr>
          <w:ilvl w:val="0"/>
          <w:numId w:val="3"/>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Challenges in attracting and recruiting qualified U.S.-based talent.</w:t>
      </w:r>
    </w:p>
    <w:p w14:paraId="51A482E3" w14:textId="77777777" w:rsidR="006A581C" w:rsidRPr="006A581C" w:rsidRDefault="006A581C" w:rsidP="006A581C">
      <w:pPr>
        <w:pStyle w:val="ListParagraph"/>
        <w:numPr>
          <w:ilvl w:val="0"/>
          <w:numId w:val="3"/>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Utilize recruitment agencies, job boards, and professional networking platforms to identify and attract skilled candidates. Offer competitive salaries, benefits, and opportunities for career advancement to attract top talent.</w:t>
      </w:r>
    </w:p>
    <w:p w14:paraId="2F3E2EEF"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Compliance with Employment Laws</w:t>
      </w:r>
      <w:r w:rsidRPr="006A581C">
        <w:rPr>
          <w:rFonts w:ascii="Calibri" w:hAnsi="Calibri" w:cs="Calibri"/>
          <w:sz w:val="22"/>
          <w:szCs w:val="22"/>
        </w:rPr>
        <w:t>:</w:t>
      </w:r>
    </w:p>
    <w:p w14:paraId="7F9B52F3" w14:textId="77777777" w:rsidR="006A581C" w:rsidRPr="006A581C" w:rsidRDefault="006A581C" w:rsidP="006A581C">
      <w:pPr>
        <w:pStyle w:val="ListParagraph"/>
        <w:numPr>
          <w:ilvl w:val="0"/>
          <w:numId w:val="4"/>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Risk of non-compliance with U.S. employment laws, leading to legal liabilities and penalties.</w:t>
      </w:r>
    </w:p>
    <w:p w14:paraId="04CA231A" w14:textId="77777777" w:rsidR="006A581C" w:rsidRPr="006A581C" w:rsidRDefault="006A581C" w:rsidP="006A581C">
      <w:pPr>
        <w:pStyle w:val="ListParagraph"/>
        <w:numPr>
          <w:ilvl w:val="0"/>
          <w:numId w:val="4"/>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Implement robust HR policies and procedures to ensure compliance with federal, state, and local employment laws. Provide training to managers and HR staff on legal requirements related to hiring, employee rights, and workplace safety.</w:t>
      </w:r>
    </w:p>
    <w:p w14:paraId="59B1426F"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Cultural Adaptation</w:t>
      </w:r>
      <w:r w:rsidRPr="006A581C">
        <w:rPr>
          <w:rFonts w:ascii="Calibri" w:hAnsi="Calibri" w:cs="Calibri"/>
          <w:sz w:val="22"/>
          <w:szCs w:val="22"/>
        </w:rPr>
        <w:t>:</w:t>
      </w:r>
    </w:p>
    <w:p w14:paraId="004E79B0" w14:textId="77777777" w:rsidR="006A581C" w:rsidRPr="006A581C" w:rsidRDefault="006A581C" w:rsidP="006A581C">
      <w:pPr>
        <w:pStyle w:val="ListParagraph"/>
        <w:numPr>
          <w:ilvl w:val="0"/>
          <w:numId w:val="5"/>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Cultural differences between the foreign company's management style and the expectations of U.S.-based employees.</w:t>
      </w:r>
    </w:p>
    <w:p w14:paraId="5D9F14DA" w14:textId="77777777" w:rsidR="006A581C" w:rsidRPr="006A581C" w:rsidRDefault="006A581C" w:rsidP="006A581C">
      <w:pPr>
        <w:pStyle w:val="ListParagraph"/>
        <w:numPr>
          <w:ilvl w:val="0"/>
          <w:numId w:val="5"/>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Foster cultural awareness and sensitivity within the organization. Provide cultural orientation and training to foreign managers to understand U.S. workplace culture and communication norms. Encourage open dialogue and feedback to bridge cultural gaps and promote collaboration.</w:t>
      </w:r>
    </w:p>
    <w:p w14:paraId="3AEFC6B7"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Employee Benefits and Compensation</w:t>
      </w:r>
      <w:r w:rsidRPr="006A581C">
        <w:rPr>
          <w:rFonts w:ascii="Calibri" w:hAnsi="Calibri" w:cs="Calibri"/>
          <w:sz w:val="22"/>
          <w:szCs w:val="22"/>
        </w:rPr>
        <w:t>:</w:t>
      </w:r>
    </w:p>
    <w:p w14:paraId="1BA72257" w14:textId="77777777" w:rsidR="006A581C" w:rsidRPr="006A581C" w:rsidRDefault="006A581C" w:rsidP="006A581C">
      <w:pPr>
        <w:pStyle w:val="ListParagraph"/>
        <w:numPr>
          <w:ilvl w:val="0"/>
          <w:numId w:val="6"/>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Challenges in designing competitive benefits packages and compensation plans that meet the needs and expectations of U.S.-based employees.</w:t>
      </w:r>
    </w:p>
    <w:p w14:paraId="75DD1E7F" w14:textId="77777777" w:rsidR="006A581C" w:rsidRPr="006A581C" w:rsidRDefault="006A581C" w:rsidP="006A581C">
      <w:pPr>
        <w:pStyle w:val="ListParagraph"/>
        <w:numPr>
          <w:ilvl w:val="0"/>
          <w:numId w:val="6"/>
        </w:numPr>
        <w:rPr>
          <w:rFonts w:ascii="Calibri" w:hAnsi="Calibri" w:cs="Calibri"/>
          <w:sz w:val="22"/>
          <w:szCs w:val="22"/>
        </w:rPr>
      </w:pPr>
      <w:r w:rsidRPr="006A581C">
        <w:rPr>
          <w:rFonts w:ascii="Calibri" w:hAnsi="Calibri" w:cs="Calibri"/>
          <w:b/>
          <w:bCs/>
          <w:sz w:val="22"/>
          <w:szCs w:val="22"/>
        </w:rPr>
        <w:lastRenderedPageBreak/>
        <w:t>Solution</w:t>
      </w:r>
      <w:r w:rsidRPr="006A581C">
        <w:rPr>
          <w:rFonts w:ascii="Calibri" w:hAnsi="Calibri" w:cs="Calibri"/>
          <w:sz w:val="22"/>
          <w:szCs w:val="22"/>
        </w:rPr>
        <w:t>: Conduct benchmarking studies to compare compensation and benefits offerings with industry standards and competitors. Tailor benefits packages to meet the preferences and requirements of U.S. employees, such as health insurance, retirement plans, and paid time off.</w:t>
      </w:r>
    </w:p>
    <w:p w14:paraId="3EE7E57F"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Employee Relations and Engagement</w:t>
      </w:r>
      <w:r w:rsidRPr="006A581C">
        <w:rPr>
          <w:rFonts w:ascii="Calibri" w:hAnsi="Calibri" w:cs="Calibri"/>
          <w:sz w:val="22"/>
          <w:szCs w:val="22"/>
        </w:rPr>
        <w:t>:</w:t>
      </w:r>
    </w:p>
    <w:p w14:paraId="615C209C" w14:textId="77777777" w:rsidR="006A581C" w:rsidRPr="006A581C" w:rsidRDefault="006A581C" w:rsidP="006A581C">
      <w:pPr>
        <w:pStyle w:val="ListParagraph"/>
        <w:numPr>
          <w:ilvl w:val="0"/>
          <w:numId w:val="7"/>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Difficulty in fostering positive employee relations and maintaining high levels of engagement among U.S.-based workforce.</w:t>
      </w:r>
    </w:p>
    <w:p w14:paraId="265BFAF5" w14:textId="77777777" w:rsidR="006A581C" w:rsidRPr="006A581C" w:rsidRDefault="006A581C" w:rsidP="006A581C">
      <w:pPr>
        <w:pStyle w:val="ListParagraph"/>
        <w:numPr>
          <w:ilvl w:val="0"/>
          <w:numId w:val="7"/>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Implement employee engagement initiatives, such as regular feedback sessions, team-building activities, and recognition programs. Provide opportunities for professional development and career growth to foster employee loyalty and commitment.</w:t>
      </w:r>
    </w:p>
    <w:p w14:paraId="31B74D44"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Performance Management</w:t>
      </w:r>
      <w:r w:rsidRPr="006A581C">
        <w:rPr>
          <w:rFonts w:ascii="Calibri" w:hAnsi="Calibri" w:cs="Calibri"/>
          <w:sz w:val="22"/>
          <w:szCs w:val="22"/>
        </w:rPr>
        <w:t>:</w:t>
      </w:r>
    </w:p>
    <w:p w14:paraId="601BEF63" w14:textId="77777777" w:rsidR="006A581C" w:rsidRPr="006A581C" w:rsidRDefault="006A581C" w:rsidP="006A581C">
      <w:pPr>
        <w:pStyle w:val="ListParagraph"/>
        <w:numPr>
          <w:ilvl w:val="0"/>
          <w:numId w:val="8"/>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Inconsistent performance management practices and lack of accountability for performance standards.</w:t>
      </w:r>
    </w:p>
    <w:p w14:paraId="2ABB7FF5" w14:textId="77777777" w:rsidR="006A581C" w:rsidRPr="006A581C" w:rsidRDefault="006A581C" w:rsidP="006A581C">
      <w:pPr>
        <w:pStyle w:val="ListParagraph"/>
        <w:numPr>
          <w:ilvl w:val="0"/>
          <w:numId w:val="8"/>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Establish clear performance expectations, goals, and metrics for U.S.-based employees. Implement regular performance reviews and feedback sessions to assess performance, provide constructive feedback, and identify areas for improvement.</w:t>
      </w:r>
    </w:p>
    <w:p w14:paraId="7628AF6B"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Training and Development</w:t>
      </w:r>
      <w:r w:rsidRPr="006A581C">
        <w:rPr>
          <w:rFonts w:ascii="Calibri" w:hAnsi="Calibri" w:cs="Calibri"/>
          <w:sz w:val="22"/>
          <w:szCs w:val="22"/>
        </w:rPr>
        <w:t>:</w:t>
      </w:r>
    </w:p>
    <w:p w14:paraId="11DE9EC6" w14:textId="77777777" w:rsidR="006A581C" w:rsidRPr="006A581C" w:rsidRDefault="006A581C" w:rsidP="006A581C">
      <w:pPr>
        <w:pStyle w:val="ListParagraph"/>
        <w:numPr>
          <w:ilvl w:val="0"/>
          <w:numId w:val="9"/>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Limited access to training and development opportunities for U.S.-based employees.</w:t>
      </w:r>
    </w:p>
    <w:p w14:paraId="247DD1FF" w14:textId="77777777" w:rsidR="006A581C" w:rsidRPr="006A581C" w:rsidRDefault="006A581C" w:rsidP="006A581C">
      <w:pPr>
        <w:pStyle w:val="ListParagraph"/>
        <w:numPr>
          <w:ilvl w:val="0"/>
          <w:numId w:val="9"/>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Invest in employee training and development programs to enhance skills, knowledge, and capabilities. Offer opportunities for career advancement, skills enhancement, and leadership development to support employee growth and retention.</w:t>
      </w:r>
    </w:p>
    <w:p w14:paraId="09EDE2BB"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Legal Compliance and Risk Management</w:t>
      </w:r>
      <w:r w:rsidRPr="006A581C">
        <w:rPr>
          <w:rFonts w:ascii="Calibri" w:hAnsi="Calibri" w:cs="Calibri"/>
          <w:sz w:val="22"/>
          <w:szCs w:val="22"/>
        </w:rPr>
        <w:t>:</w:t>
      </w:r>
    </w:p>
    <w:p w14:paraId="061FD12A" w14:textId="77777777" w:rsidR="006A581C" w:rsidRPr="006A581C" w:rsidRDefault="006A581C" w:rsidP="006A581C">
      <w:pPr>
        <w:pStyle w:val="ListParagraph"/>
        <w:numPr>
          <w:ilvl w:val="0"/>
          <w:numId w:val="10"/>
        </w:num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Exposure to legal risks and liabilities related to employment disputes, discrimination claims, and workplace injuries.</w:t>
      </w:r>
    </w:p>
    <w:p w14:paraId="0960B1C0" w14:textId="0DA7F8B3" w:rsidR="00BD4BD9" w:rsidRDefault="006A581C" w:rsidP="006A581C">
      <w:pPr>
        <w:pStyle w:val="ListParagraph"/>
        <w:numPr>
          <w:ilvl w:val="0"/>
          <w:numId w:val="10"/>
        </w:num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Implement robust HR policies, procedures, and compliance measures to mitigate legal risks. Provide training to managers and employees on workplace rights, responsibilities, and safety protocols. Partner with legal advisors and insurance providers to address potential legal and risk management issues proactively.</w:t>
      </w:r>
    </w:p>
    <w:p w14:paraId="44D5042F"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Remote Work Considerations</w:t>
      </w:r>
      <w:r w:rsidRPr="006A581C">
        <w:rPr>
          <w:rFonts w:ascii="Calibri" w:hAnsi="Calibri" w:cs="Calibri"/>
          <w:sz w:val="22"/>
          <w:szCs w:val="22"/>
        </w:rPr>
        <w:t>:</w:t>
      </w:r>
    </w:p>
    <w:p w14:paraId="3B0E62A8"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Managing remote employees across different time zones and geographical locations.</w:t>
      </w:r>
    </w:p>
    <w:p w14:paraId="31EB89DE"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Implement remote work policies and tools to facilitate communication, collaboration, and productivity. Provide training on remote work best practices and ensure access to necessary technology and support resources.</w:t>
      </w:r>
    </w:p>
    <w:p w14:paraId="3414E463"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Diversity and Inclusion</w:t>
      </w:r>
      <w:r w:rsidRPr="006A581C">
        <w:rPr>
          <w:rFonts w:ascii="Calibri" w:hAnsi="Calibri" w:cs="Calibri"/>
          <w:sz w:val="22"/>
          <w:szCs w:val="22"/>
        </w:rPr>
        <w:t>:</w:t>
      </w:r>
    </w:p>
    <w:p w14:paraId="208A8288"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Lack of diversity and inclusion initiatives within the organization.</w:t>
      </w:r>
    </w:p>
    <w:p w14:paraId="7CBE69B4"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lastRenderedPageBreak/>
        <w:t>Solution</w:t>
      </w:r>
      <w:r w:rsidRPr="006A581C">
        <w:rPr>
          <w:rFonts w:ascii="Calibri" w:hAnsi="Calibri" w:cs="Calibri"/>
          <w:sz w:val="22"/>
          <w:szCs w:val="22"/>
        </w:rPr>
        <w:t>: Promote diversity and inclusion in recruitment, hiring, and workplace practices. Establish employee resource groups, diversity training programs, and inclusive policies to foster a culture of belonging and respect.</w:t>
      </w:r>
    </w:p>
    <w:p w14:paraId="2FEA177A"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Employee Retention</w:t>
      </w:r>
      <w:r w:rsidRPr="006A581C">
        <w:rPr>
          <w:rFonts w:ascii="Calibri" w:hAnsi="Calibri" w:cs="Calibri"/>
          <w:sz w:val="22"/>
          <w:szCs w:val="22"/>
        </w:rPr>
        <w:t>:</w:t>
      </w:r>
    </w:p>
    <w:p w14:paraId="42936B2D"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Difficulty retaining top talent due to competition and turnover.</w:t>
      </w:r>
    </w:p>
    <w:p w14:paraId="2C837E9B"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Implement retention strategies such as career development opportunities, mentorship programs, and competitive compensation packages. Conduct exit interviews to identify reasons for turnover and implement corrective actions.</w:t>
      </w:r>
    </w:p>
    <w:p w14:paraId="4B9CD14E"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Workplace Health and Safety</w:t>
      </w:r>
      <w:r w:rsidRPr="006A581C">
        <w:rPr>
          <w:rFonts w:ascii="Calibri" w:hAnsi="Calibri" w:cs="Calibri"/>
          <w:sz w:val="22"/>
          <w:szCs w:val="22"/>
        </w:rPr>
        <w:t>:</w:t>
      </w:r>
    </w:p>
    <w:p w14:paraId="5A1684BC"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Ensuring compliance with workplace health and safety regulations.</w:t>
      </w:r>
    </w:p>
    <w:p w14:paraId="2CEF139D"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Develop and implement safety protocols, training programs, and emergency response plans to promote a safe work environment. Conduct regular inspections and audits to identify hazards and address safety concerns promptly.</w:t>
      </w:r>
    </w:p>
    <w:p w14:paraId="6AD0366A"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Employee Engagement Surveys</w:t>
      </w:r>
      <w:r w:rsidRPr="006A581C">
        <w:rPr>
          <w:rFonts w:ascii="Calibri" w:hAnsi="Calibri" w:cs="Calibri"/>
          <w:sz w:val="22"/>
          <w:szCs w:val="22"/>
        </w:rPr>
        <w:t>:</w:t>
      </w:r>
    </w:p>
    <w:p w14:paraId="50C46C2E"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Limited insight into employee satisfaction and engagement levels.</w:t>
      </w:r>
    </w:p>
    <w:p w14:paraId="1A76FB4D"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Conduct regular employee engagement surveys to gather feedback, identify areas for improvement, and measure progress over time. Use survey results to inform HR strategies and initiatives aimed at enhancing employee engagement.</w:t>
      </w:r>
    </w:p>
    <w:p w14:paraId="61938399"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Cross-Cultural Training</w:t>
      </w:r>
      <w:r w:rsidRPr="006A581C">
        <w:rPr>
          <w:rFonts w:ascii="Calibri" w:hAnsi="Calibri" w:cs="Calibri"/>
          <w:sz w:val="22"/>
          <w:szCs w:val="22"/>
        </w:rPr>
        <w:t>:</w:t>
      </w:r>
    </w:p>
    <w:p w14:paraId="732C817C"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Challenges in integrating employees from diverse cultural backgrounds.</w:t>
      </w:r>
    </w:p>
    <w:p w14:paraId="0D706A63"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Offer cross-cultural training programs to promote understanding, communication, and collaboration among team members from different cultural backgrounds. Provide resources and support for cultural integration and adjustment.</w:t>
      </w:r>
    </w:p>
    <w:p w14:paraId="2CAE00A7"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Employee Benefits Administration</w:t>
      </w:r>
      <w:r w:rsidRPr="006A581C">
        <w:rPr>
          <w:rFonts w:ascii="Calibri" w:hAnsi="Calibri" w:cs="Calibri"/>
          <w:sz w:val="22"/>
          <w:szCs w:val="22"/>
        </w:rPr>
        <w:t>:</w:t>
      </w:r>
    </w:p>
    <w:p w14:paraId="2A5BD259"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Complexity and administration challenges related to employee benefits.</w:t>
      </w:r>
    </w:p>
    <w:p w14:paraId="1FA16558"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Partner with benefits administration providers or HR outsourcing firms to streamline benefits enrollment, administration, and compliance. Provide access to online portals or tools for employees to manage their benefits conveniently.</w:t>
      </w:r>
    </w:p>
    <w:p w14:paraId="0DB99F9D"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Succession Planning</w:t>
      </w:r>
      <w:r w:rsidRPr="006A581C">
        <w:rPr>
          <w:rFonts w:ascii="Calibri" w:hAnsi="Calibri" w:cs="Calibri"/>
          <w:sz w:val="22"/>
          <w:szCs w:val="22"/>
        </w:rPr>
        <w:t>:</w:t>
      </w:r>
    </w:p>
    <w:p w14:paraId="252CF7D1"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Lack of succession planning and talent pipeline development.</w:t>
      </w:r>
    </w:p>
    <w:p w14:paraId="492BE617"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lastRenderedPageBreak/>
        <w:t>Solution</w:t>
      </w:r>
      <w:r w:rsidRPr="006A581C">
        <w:rPr>
          <w:rFonts w:ascii="Calibri" w:hAnsi="Calibri" w:cs="Calibri"/>
          <w:sz w:val="22"/>
          <w:szCs w:val="22"/>
        </w:rPr>
        <w:t>: Develop succession plans and talent development programs to identify high-potential employees, groom future leaders, and ensure continuity in key roles. Provide mentorship, coaching, and professional development opportunities for succession candidates.</w:t>
      </w:r>
    </w:p>
    <w:p w14:paraId="3426E00A"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Workforce Analytics</w:t>
      </w:r>
      <w:r w:rsidRPr="006A581C">
        <w:rPr>
          <w:rFonts w:ascii="Calibri" w:hAnsi="Calibri" w:cs="Calibri"/>
          <w:sz w:val="22"/>
          <w:szCs w:val="22"/>
        </w:rPr>
        <w:t>:</w:t>
      </w:r>
    </w:p>
    <w:p w14:paraId="526DB7BF"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Limited visibility into workforce trends, performance metrics, and HR analytics.</w:t>
      </w:r>
    </w:p>
    <w:p w14:paraId="562F0B9A"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Invest in workforce analytics tools and systems to track key HR metrics, analyze workforce trends, and make data-driven decisions. Use analytics to optimize workforce planning, recruitment strategies, and talent management initiatives.</w:t>
      </w:r>
    </w:p>
    <w:p w14:paraId="65DCFE64"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Continuous Improvement</w:t>
      </w:r>
      <w:r w:rsidRPr="006A581C">
        <w:rPr>
          <w:rFonts w:ascii="Calibri" w:hAnsi="Calibri" w:cs="Calibri"/>
          <w:sz w:val="22"/>
          <w:szCs w:val="22"/>
        </w:rPr>
        <w:t>:</w:t>
      </w:r>
    </w:p>
    <w:p w14:paraId="6A182E4C" w14:textId="77777777" w:rsidR="006A581C" w:rsidRPr="006A581C" w:rsidRDefault="006A581C" w:rsidP="006A581C">
      <w:pPr>
        <w:rPr>
          <w:rFonts w:ascii="Calibri" w:hAnsi="Calibri" w:cs="Calibri"/>
          <w:sz w:val="22"/>
          <w:szCs w:val="22"/>
        </w:rPr>
      </w:pPr>
      <w:r w:rsidRPr="006A581C">
        <w:rPr>
          <w:rFonts w:ascii="Calibri" w:hAnsi="Calibri" w:cs="Calibri"/>
          <w:b/>
          <w:bCs/>
          <w:sz w:val="22"/>
          <w:szCs w:val="22"/>
        </w:rPr>
        <w:t>Problem</w:t>
      </w:r>
      <w:r w:rsidRPr="006A581C">
        <w:rPr>
          <w:rFonts w:ascii="Calibri" w:hAnsi="Calibri" w:cs="Calibri"/>
          <w:sz w:val="22"/>
          <w:szCs w:val="22"/>
        </w:rPr>
        <w:t>: Complacency and stagnation in HR practices and processes.</w:t>
      </w:r>
    </w:p>
    <w:p w14:paraId="421C62F5" w14:textId="3CB50FFF" w:rsidR="006A581C" w:rsidRPr="006A581C" w:rsidRDefault="006A581C" w:rsidP="006A581C">
      <w:pPr>
        <w:rPr>
          <w:rFonts w:ascii="Calibri" w:hAnsi="Calibri" w:cs="Calibri"/>
          <w:sz w:val="22"/>
          <w:szCs w:val="22"/>
        </w:rPr>
      </w:pPr>
      <w:r w:rsidRPr="006A581C">
        <w:rPr>
          <w:rFonts w:ascii="Calibri" w:hAnsi="Calibri" w:cs="Calibri"/>
          <w:b/>
          <w:bCs/>
          <w:sz w:val="22"/>
          <w:szCs w:val="22"/>
        </w:rPr>
        <w:t>Solution</w:t>
      </w:r>
      <w:r w:rsidRPr="006A581C">
        <w:rPr>
          <w:rFonts w:ascii="Calibri" w:hAnsi="Calibri" w:cs="Calibri"/>
          <w:sz w:val="22"/>
          <w:szCs w:val="22"/>
        </w:rPr>
        <w:t>: Foster a culture of continuous improvement by encouraging feedback, innovation, and process optimization within the HR function. Regularly review and update HR policies, procedures, and practices to adapt to changing business needs and industry trends.</w:t>
      </w:r>
    </w:p>
    <w:sectPr w:rsidR="006A581C" w:rsidRPr="006A58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A1B18"/>
    <w:multiLevelType w:val="hybridMultilevel"/>
    <w:tmpl w:val="5956C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532FD"/>
    <w:multiLevelType w:val="hybridMultilevel"/>
    <w:tmpl w:val="B64C3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837289"/>
    <w:multiLevelType w:val="hybridMultilevel"/>
    <w:tmpl w:val="6F322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B64DC4"/>
    <w:multiLevelType w:val="hybridMultilevel"/>
    <w:tmpl w:val="3D4E6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DE2C07"/>
    <w:multiLevelType w:val="hybridMultilevel"/>
    <w:tmpl w:val="91EE0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5854EB"/>
    <w:multiLevelType w:val="hybridMultilevel"/>
    <w:tmpl w:val="F228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867C22"/>
    <w:multiLevelType w:val="hybridMultilevel"/>
    <w:tmpl w:val="DD22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1649E8"/>
    <w:multiLevelType w:val="hybridMultilevel"/>
    <w:tmpl w:val="1D3A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F52FB3"/>
    <w:multiLevelType w:val="hybridMultilevel"/>
    <w:tmpl w:val="571A0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D35A0C"/>
    <w:multiLevelType w:val="hybridMultilevel"/>
    <w:tmpl w:val="9B129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9392222">
    <w:abstractNumId w:val="4"/>
  </w:num>
  <w:num w:numId="2" w16cid:durableId="2073841974">
    <w:abstractNumId w:val="7"/>
  </w:num>
  <w:num w:numId="3" w16cid:durableId="760758958">
    <w:abstractNumId w:val="6"/>
  </w:num>
  <w:num w:numId="4" w16cid:durableId="239414455">
    <w:abstractNumId w:val="3"/>
  </w:num>
  <w:num w:numId="5" w16cid:durableId="116339915">
    <w:abstractNumId w:val="1"/>
  </w:num>
  <w:num w:numId="6" w16cid:durableId="2075085782">
    <w:abstractNumId w:val="5"/>
  </w:num>
  <w:num w:numId="7" w16cid:durableId="1914120545">
    <w:abstractNumId w:val="2"/>
  </w:num>
  <w:num w:numId="8" w16cid:durableId="521018088">
    <w:abstractNumId w:val="9"/>
  </w:num>
  <w:num w:numId="9" w16cid:durableId="1272083859">
    <w:abstractNumId w:val="8"/>
  </w:num>
  <w:num w:numId="10" w16cid:durableId="1308632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81C"/>
    <w:rsid w:val="006A581C"/>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012B3"/>
  <w15:chartTrackingRefBased/>
  <w15:docId w15:val="{96182C39-F938-4523-93ED-12F73C4A6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58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58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58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58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58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58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58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58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58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8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58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58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58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58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58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58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58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581C"/>
    <w:rPr>
      <w:rFonts w:eastAsiaTheme="majorEastAsia" w:cstheme="majorBidi"/>
      <w:color w:val="272727" w:themeColor="text1" w:themeTint="D8"/>
    </w:rPr>
  </w:style>
  <w:style w:type="paragraph" w:styleId="Title">
    <w:name w:val="Title"/>
    <w:basedOn w:val="Normal"/>
    <w:next w:val="Normal"/>
    <w:link w:val="TitleChar"/>
    <w:uiPriority w:val="10"/>
    <w:qFormat/>
    <w:rsid w:val="006A58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58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58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58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581C"/>
    <w:pPr>
      <w:spacing w:before="160"/>
      <w:jc w:val="center"/>
    </w:pPr>
    <w:rPr>
      <w:i/>
      <w:iCs/>
      <w:color w:val="404040" w:themeColor="text1" w:themeTint="BF"/>
    </w:rPr>
  </w:style>
  <w:style w:type="character" w:customStyle="1" w:styleId="QuoteChar">
    <w:name w:val="Quote Char"/>
    <w:basedOn w:val="DefaultParagraphFont"/>
    <w:link w:val="Quote"/>
    <w:uiPriority w:val="29"/>
    <w:rsid w:val="006A581C"/>
    <w:rPr>
      <w:i/>
      <w:iCs/>
      <w:color w:val="404040" w:themeColor="text1" w:themeTint="BF"/>
    </w:rPr>
  </w:style>
  <w:style w:type="paragraph" w:styleId="ListParagraph">
    <w:name w:val="List Paragraph"/>
    <w:basedOn w:val="Normal"/>
    <w:uiPriority w:val="34"/>
    <w:qFormat/>
    <w:rsid w:val="006A581C"/>
    <w:pPr>
      <w:ind w:left="720"/>
      <w:contextualSpacing/>
    </w:pPr>
  </w:style>
  <w:style w:type="character" w:styleId="IntenseEmphasis">
    <w:name w:val="Intense Emphasis"/>
    <w:basedOn w:val="DefaultParagraphFont"/>
    <w:uiPriority w:val="21"/>
    <w:qFormat/>
    <w:rsid w:val="006A581C"/>
    <w:rPr>
      <w:i/>
      <w:iCs/>
      <w:color w:val="0F4761" w:themeColor="accent1" w:themeShade="BF"/>
    </w:rPr>
  </w:style>
  <w:style w:type="paragraph" w:styleId="IntenseQuote">
    <w:name w:val="Intense Quote"/>
    <w:basedOn w:val="Normal"/>
    <w:next w:val="Normal"/>
    <w:link w:val="IntenseQuoteChar"/>
    <w:uiPriority w:val="30"/>
    <w:qFormat/>
    <w:rsid w:val="006A58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581C"/>
    <w:rPr>
      <w:i/>
      <w:iCs/>
      <w:color w:val="0F4761" w:themeColor="accent1" w:themeShade="BF"/>
    </w:rPr>
  </w:style>
  <w:style w:type="character" w:styleId="IntenseReference">
    <w:name w:val="Intense Reference"/>
    <w:basedOn w:val="DefaultParagraphFont"/>
    <w:uiPriority w:val="32"/>
    <w:qFormat/>
    <w:rsid w:val="006A58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1097</Words>
  <Characters>6259</Characters>
  <Application>Microsoft Office Word</Application>
  <DocSecurity>0</DocSecurity>
  <Lines>52</Lines>
  <Paragraphs>14</Paragraphs>
  <ScaleCrop>false</ScaleCrop>
  <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2024-05-08T15:03:00Z</dcterms:created>
  <dcterms:modified xsi:type="dcterms:W3CDTF">2024-05-08T15:15:00Z</dcterms:modified>
</cp:coreProperties>
</file>