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95F2D" w14:textId="77777777" w:rsidR="00913C50" w:rsidRPr="00913C50" w:rsidRDefault="00913C50" w:rsidP="00913C50">
      <w:pPr>
        <w:rPr>
          <w:rFonts w:ascii="Calibri" w:hAnsi="Calibri" w:cs="Calibri"/>
          <w:b/>
          <w:bCs/>
          <w:sz w:val="22"/>
          <w:szCs w:val="22"/>
        </w:rPr>
      </w:pPr>
      <w:r w:rsidRPr="00913C50">
        <w:rPr>
          <w:rFonts w:ascii="Calibri" w:hAnsi="Calibri" w:cs="Calibri"/>
          <w:b/>
          <w:bCs/>
          <w:sz w:val="22"/>
          <w:szCs w:val="22"/>
        </w:rPr>
        <w:t>How to Read a Financial Statement</w:t>
      </w:r>
    </w:p>
    <w:p w14:paraId="6455302A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</w:p>
    <w:p w14:paraId="3325ADE6" w14:textId="4F35FEC3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Understand the Types of Financial Statements:</w:t>
      </w:r>
    </w:p>
    <w:p w14:paraId="478D26F2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Financial statements typically include the following main components:</w:t>
      </w:r>
    </w:p>
    <w:p w14:paraId="0D1BFC51" w14:textId="77777777" w:rsidR="00913C50" w:rsidRPr="00913C50" w:rsidRDefault="00913C50" w:rsidP="00913C5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Balance Sheet (or Statement of Financial Position)</w:t>
      </w:r>
    </w:p>
    <w:p w14:paraId="05AB6035" w14:textId="77777777" w:rsidR="00913C50" w:rsidRPr="00913C50" w:rsidRDefault="00913C50" w:rsidP="00913C5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Income Statement (or Profit and Loss Statement)</w:t>
      </w:r>
    </w:p>
    <w:p w14:paraId="1A968E40" w14:textId="77777777" w:rsidR="00913C50" w:rsidRPr="00913C50" w:rsidRDefault="00913C50" w:rsidP="00913C5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Cash Flow Statement</w:t>
      </w:r>
    </w:p>
    <w:p w14:paraId="1CDBDB2F" w14:textId="77777777" w:rsidR="00913C50" w:rsidRPr="00913C50" w:rsidRDefault="00913C50" w:rsidP="00913C5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Statement of Shareholders' Equity (or Statement of Changes in Equity)</w:t>
      </w:r>
    </w:p>
    <w:p w14:paraId="39745AD0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Each statement provides different insights into the company's financial condition and performance.</w:t>
      </w:r>
    </w:p>
    <w:p w14:paraId="3FCCB501" w14:textId="76F43A94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Review the Balance Sheet:</w:t>
      </w:r>
    </w:p>
    <w:p w14:paraId="2B48C03B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The balance sheet provides a snapshot of the company's financial position at a specific point in time.</w:t>
      </w:r>
    </w:p>
    <w:p w14:paraId="21035B3F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Key components include:</w:t>
      </w:r>
    </w:p>
    <w:p w14:paraId="18D04220" w14:textId="77777777" w:rsidR="00913C50" w:rsidRPr="00913C50" w:rsidRDefault="00913C50" w:rsidP="00913C50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Assets: Resources owned by the company, such as cash, accounts receivable, inventory, property, plant, and equipment.</w:t>
      </w:r>
    </w:p>
    <w:p w14:paraId="08858EFC" w14:textId="77777777" w:rsidR="00913C50" w:rsidRPr="00913C50" w:rsidRDefault="00913C50" w:rsidP="00913C50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Liabilities: Obligations owed by the company, such as accounts payable, loans, and accrued expenses.</w:t>
      </w:r>
    </w:p>
    <w:p w14:paraId="06CB065C" w14:textId="2FA9EA38" w:rsidR="00913C50" w:rsidRPr="00913C50" w:rsidRDefault="00913C50" w:rsidP="00913C50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 xml:space="preserve">Shareholders' Equity: The difference between assets and </w:t>
      </w:r>
      <w:r w:rsidRPr="00913C50">
        <w:rPr>
          <w:rFonts w:ascii="Calibri" w:hAnsi="Calibri" w:cs="Calibri"/>
          <w:sz w:val="22"/>
          <w:szCs w:val="22"/>
        </w:rPr>
        <w:t>liabilities</w:t>
      </w:r>
      <w:r w:rsidRPr="00913C50">
        <w:rPr>
          <w:rFonts w:ascii="Calibri" w:hAnsi="Calibri" w:cs="Calibri"/>
          <w:sz w:val="22"/>
          <w:szCs w:val="22"/>
        </w:rPr>
        <w:t xml:space="preserve"> representing the shareholders' ownership interest in the company.</w:t>
      </w:r>
    </w:p>
    <w:p w14:paraId="35BF9C5D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Analyze liquidity, solvency, and leverage ratios derived from balance sheet figures to assess financial stability.</w:t>
      </w:r>
    </w:p>
    <w:p w14:paraId="12DE6452" w14:textId="220ED626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Analyze the Income Statement:</w:t>
      </w:r>
    </w:p>
    <w:p w14:paraId="78BB4AAB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The income statement shows the company's revenues, expenses, and net income (or loss) over a specific period, typically a fiscal quarter or year.</w:t>
      </w:r>
    </w:p>
    <w:p w14:paraId="442C7AC1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Key components include:</w:t>
      </w:r>
    </w:p>
    <w:p w14:paraId="796E2908" w14:textId="77777777" w:rsidR="00913C50" w:rsidRPr="00913C50" w:rsidRDefault="00913C50" w:rsidP="00913C5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Revenue: Total sales or income generated by the company from its core business activities.</w:t>
      </w:r>
    </w:p>
    <w:p w14:paraId="12291FD4" w14:textId="77777777" w:rsidR="00913C50" w:rsidRPr="00913C50" w:rsidRDefault="00913C50" w:rsidP="00913C5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Cost of Goods Sold (COGS): Direct costs associated with producing goods or services sold.</w:t>
      </w:r>
    </w:p>
    <w:p w14:paraId="4EB6CEAC" w14:textId="77777777" w:rsidR="00913C50" w:rsidRPr="00913C50" w:rsidRDefault="00913C50" w:rsidP="00913C5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Gross Profit: Revenue minus COGS, representing the company's profitability before operating expenses.</w:t>
      </w:r>
    </w:p>
    <w:p w14:paraId="56238156" w14:textId="77777777" w:rsidR="00913C50" w:rsidRPr="00913C50" w:rsidRDefault="00913C50" w:rsidP="00913C5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Operating Expenses: Costs incurred in running the business, such as salaries, rent, utilities, and marketing.</w:t>
      </w:r>
    </w:p>
    <w:p w14:paraId="2B25ACD1" w14:textId="77777777" w:rsidR="00913C50" w:rsidRPr="00913C50" w:rsidRDefault="00913C50" w:rsidP="00913C5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Operating Income: Gross profit minus operating expenses, indicating the profitability of core operations.</w:t>
      </w:r>
    </w:p>
    <w:p w14:paraId="5F6388F8" w14:textId="77777777" w:rsidR="00913C50" w:rsidRPr="00913C50" w:rsidRDefault="00913C50" w:rsidP="00913C5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Net Income: Total profit after subtracting taxes and other non-operating expenses.</w:t>
      </w:r>
    </w:p>
    <w:p w14:paraId="088A7108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lastRenderedPageBreak/>
        <w:t>Assess profitability ratios, such as gross profit margin, operating margin, and net profit margin, to evaluate the company's earning capacity.</w:t>
      </w:r>
    </w:p>
    <w:p w14:paraId="421EF8B4" w14:textId="675390B5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Examine the Cash Flow Statement:</w:t>
      </w:r>
    </w:p>
    <w:p w14:paraId="3937DF18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The cash flow statement tracks the inflows and outflows of cash during a specific period, categorizing cash flows into operating, investing, and financing activities.</w:t>
      </w:r>
    </w:p>
    <w:p w14:paraId="2F765D0F" w14:textId="6C95142D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Key sections include:</w:t>
      </w:r>
    </w:p>
    <w:p w14:paraId="6ADCCAE9" w14:textId="77777777" w:rsidR="00913C50" w:rsidRPr="00913C50" w:rsidRDefault="00913C50" w:rsidP="00913C50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Operating Activities: Cash flows from day-to-day business operations, such as receipts from customers and payments to suppliers.</w:t>
      </w:r>
    </w:p>
    <w:p w14:paraId="33612AE8" w14:textId="77777777" w:rsidR="00913C50" w:rsidRPr="00913C50" w:rsidRDefault="00913C50" w:rsidP="00913C50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Investing Activities: Cash flows from buying or selling assets, investments, or other long-term assets.</w:t>
      </w:r>
    </w:p>
    <w:p w14:paraId="31B7CD3D" w14:textId="77777777" w:rsidR="00913C50" w:rsidRPr="00913C50" w:rsidRDefault="00913C50" w:rsidP="00913C50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Financing Activities: Cash flows from borrowing, issuing stock, repaying debt, or paying dividends.</w:t>
      </w:r>
    </w:p>
    <w:p w14:paraId="73497785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Analyze cash flow patterns to assess liquidity, cash generation, and financing needs.</w:t>
      </w:r>
    </w:p>
    <w:p w14:paraId="647B2BC4" w14:textId="77FFCD62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Review the Statement of Shareholders' Equity:</w:t>
      </w:r>
    </w:p>
    <w:p w14:paraId="644AE12E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This statement tracks changes in shareholders' equity over time, including contributions, distributions, and retained earnings.</w:t>
      </w:r>
    </w:p>
    <w:p w14:paraId="27AD9FE4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Key components include:</w:t>
      </w:r>
    </w:p>
    <w:p w14:paraId="4ADBC32C" w14:textId="77777777" w:rsidR="00913C50" w:rsidRPr="00913C50" w:rsidRDefault="00913C50" w:rsidP="00913C50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Common Stock: Shares issued to investors in exchange for capital contributions.</w:t>
      </w:r>
    </w:p>
    <w:p w14:paraId="6BDB448D" w14:textId="77777777" w:rsidR="00913C50" w:rsidRPr="00913C50" w:rsidRDefault="00913C50" w:rsidP="00913C50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Retained Earnings: Accumulated profits retained by the company after paying dividends to shareholders.</w:t>
      </w:r>
    </w:p>
    <w:p w14:paraId="55E1BFB2" w14:textId="77777777" w:rsidR="00913C50" w:rsidRPr="00913C50" w:rsidRDefault="00913C50" w:rsidP="00913C50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Other Comprehensive Income: Unrealized gains or losses not included in the income statement.</w:t>
      </w:r>
    </w:p>
    <w:p w14:paraId="5083EDD9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Assess changes in shareholders' equity to understand capital structure and distribution policies.</w:t>
      </w:r>
    </w:p>
    <w:p w14:paraId="70488408" w14:textId="10EF21A2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Compare and Analyze Financial Ratios:</w:t>
      </w:r>
    </w:p>
    <w:p w14:paraId="28FE1DD2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Calculate and analyze financial ratios derived from data in the financial statements, such as:</w:t>
      </w:r>
    </w:p>
    <w:p w14:paraId="37CABEF5" w14:textId="77777777" w:rsidR="00913C50" w:rsidRPr="00913C50" w:rsidRDefault="00913C50" w:rsidP="00913C50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Liquidity Ratios: Measure the company's ability to meet short-term obligations.</w:t>
      </w:r>
    </w:p>
    <w:p w14:paraId="780C8349" w14:textId="77777777" w:rsidR="00913C50" w:rsidRPr="00913C50" w:rsidRDefault="00913C50" w:rsidP="00913C50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Solvency Ratios: Assess the company's long-term financial viability and ability to cover debt obligations.</w:t>
      </w:r>
    </w:p>
    <w:p w14:paraId="13156FE6" w14:textId="77777777" w:rsidR="00913C50" w:rsidRPr="00913C50" w:rsidRDefault="00913C50" w:rsidP="00913C50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Profitability Ratios: Evaluate the company's ability to generate profits from its operations.</w:t>
      </w:r>
    </w:p>
    <w:p w14:paraId="38727F15" w14:textId="77777777" w:rsidR="00913C50" w:rsidRPr="00913C50" w:rsidRDefault="00913C50" w:rsidP="00913C50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Efficiency Ratios: Measure the company's efficiency in managing assets, liabilities, and equity.</w:t>
      </w:r>
    </w:p>
    <w:p w14:paraId="1B8208C5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Compare ratios with industry benchmarks, historical trends, and competitors to identify strengths, weaknesses, and areas for improvement.</w:t>
      </w:r>
    </w:p>
    <w:p w14:paraId="6697339F" w14:textId="392E7DFB" w:rsidR="00913C50" w:rsidRPr="00913C50" w:rsidRDefault="00913C50" w:rsidP="00913C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Consider Additional Disclosures and Footnotes:</w:t>
      </w:r>
    </w:p>
    <w:p w14:paraId="51A45498" w14:textId="77777777" w:rsidR="00913C50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lastRenderedPageBreak/>
        <w:t>Pay attention to additional disclosures, footnotes, and management discussions included in the financial statements.</w:t>
      </w:r>
    </w:p>
    <w:p w14:paraId="6C637FCC" w14:textId="284E3266" w:rsidR="00BD4BD9" w:rsidRPr="00913C50" w:rsidRDefault="00913C50" w:rsidP="00913C50">
      <w:pPr>
        <w:rPr>
          <w:rFonts w:ascii="Calibri" w:hAnsi="Calibri" w:cs="Calibri"/>
          <w:sz w:val="22"/>
          <w:szCs w:val="22"/>
        </w:rPr>
      </w:pPr>
      <w:r w:rsidRPr="00913C50">
        <w:rPr>
          <w:rFonts w:ascii="Calibri" w:hAnsi="Calibri" w:cs="Calibri"/>
          <w:sz w:val="22"/>
          <w:szCs w:val="22"/>
        </w:rPr>
        <w:t>These provide context, explanations, and additional insights into significant accounting policies, estimates, risks, and uncertainties affecting the company's financial performance.</w:t>
      </w:r>
    </w:p>
    <w:sectPr w:rsidR="00BD4BD9" w:rsidRPr="00913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72D13"/>
    <w:multiLevelType w:val="hybridMultilevel"/>
    <w:tmpl w:val="BA82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0401E"/>
    <w:multiLevelType w:val="hybridMultilevel"/>
    <w:tmpl w:val="EB7A6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42D1C"/>
    <w:multiLevelType w:val="hybridMultilevel"/>
    <w:tmpl w:val="24DA0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E5A42"/>
    <w:multiLevelType w:val="hybridMultilevel"/>
    <w:tmpl w:val="D5FE1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15231"/>
    <w:multiLevelType w:val="hybridMultilevel"/>
    <w:tmpl w:val="C566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F0BD2"/>
    <w:multiLevelType w:val="hybridMultilevel"/>
    <w:tmpl w:val="4F168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7FF1"/>
    <w:multiLevelType w:val="hybridMultilevel"/>
    <w:tmpl w:val="3120E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17480">
    <w:abstractNumId w:val="3"/>
  </w:num>
  <w:num w:numId="2" w16cid:durableId="1679893172">
    <w:abstractNumId w:val="2"/>
  </w:num>
  <w:num w:numId="3" w16cid:durableId="4283991">
    <w:abstractNumId w:val="6"/>
  </w:num>
  <w:num w:numId="4" w16cid:durableId="1471289576">
    <w:abstractNumId w:val="1"/>
  </w:num>
  <w:num w:numId="5" w16cid:durableId="893585817">
    <w:abstractNumId w:val="4"/>
  </w:num>
  <w:num w:numId="6" w16cid:durableId="621159341">
    <w:abstractNumId w:val="5"/>
  </w:num>
  <w:num w:numId="7" w16cid:durableId="104525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50"/>
    <w:rsid w:val="00913C50"/>
    <w:rsid w:val="00B175BC"/>
    <w:rsid w:val="00B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C62A2"/>
  <w15:chartTrackingRefBased/>
  <w15:docId w15:val="{AE30ECF6-C01B-44EB-A353-E5CD5376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C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C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C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C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C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C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C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Buonanotte</dc:creator>
  <cp:keywords/>
  <dc:description/>
  <cp:lastModifiedBy>Frank Buonanotte</cp:lastModifiedBy>
  <cp:revision>1</cp:revision>
  <dcterms:created xsi:type="dcterms:W3CDTF">2024-05-08T17:26:00Z</dcterms:created>
  <dcterms:modified xsi:type="dcterms:W3CDTF">2024-05-08T17:36:00Z</dcterms:modified>
</cp:coreProperties>
</file>