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F9F46E" w14:textId="791C4BE2" w:rsidR="00BD4BD9" w:rsidRPr="002743B5" w:rsidRDefault="002743B5">
      <w:pPr>
        <w:rPr>
          <w:rFonts w:ascii="Calibri" w:hAnsi="Calibri" w:cs="Calibri"/>
          <w:b/>
          <w:bCs/>
          <w:sz w:val="22"/>
          <w:szCs w:val="22"/>
        </w:rPr>
      </w:pPr>
      <w:r w:rsidRPr="002743B5">
        <w:rPr>
          <w:rFonts w:ascii="Calibri" w:hAnsi="Calibri" w:cs="Calibri"/>
          <w:b/>
          <w:bCs/>
          <w:sz w:val="22"/>
          <w:szCs w:val="22"/>
        </w:rPr>
        <w:t>Monthly Expense Forecast Spreadsheet</w:t>
      </w:r>
    </w:p>
    <w:p w14:paraId="6E0CC518" w14:textId="77777777" w:rsidR="002743B5" w:rsidRDefault="002743B5">
      <w:pPr>
        <w:rPr>
          <w:rFonts w:ascii="Calibri" w:hAnsi="Calibri" w:cs="Calibri"/>
          <w:sz w:val="22"/>
          <w:szCs w:val="22"/>
        </w:rPr>
      </w:pPr>
    </w:p>
    <w:p w14:paraId="3114807F" w14:textId="138D09EF" w:rsidR="002743B5" w:rsidRDefault="002743B5">
      <w:pPr>
        <w:rPr>
          <w:rFonts w:ascii="Calibri" w:hAnsi="Calibri" w:cs="Calibri"/>
          <w:sz w:val="22"/>
          <w:szCs w:val="22"/>
        </w:rPr>
      </w:pPr>
      <w:r w:rsidRPr="002743B5">
        <w:rPr>
          <w:rFonts w:ascii="Calibri" w:hAnsi="Calibri" w:cs="Calibri"/>
          <w:sz w:val="22"/>
          <w:szCs w:val="22"/>
        </w:rPr>
        <w:t>MONTHLY EXPENSE FORECAST</w:t>
      </w:r>
    </w:p>
    <w:tbl>
      <w:tblPr>
        <w:tblStyle w:val="PlainTable1"/>
        <w:tblW w:w="0" w:type="auto"/>
        <w:tblLook w:val="04A0" w:firstRow="1" w:lastRow="0" w:firstColumn="1" w:lastColumn="0" w:noHBand="0" w:noVBand="1"/>
      </w:tblPr>
      <w:tblGrid>
        <w:gridCol w:w="1975"/>
        <w:gridCol w:w="1440"/>
        <w:gridCol w:w="1530"/>
        <w:gridCol w:w="1440"/>
        <w:gridCol w:w="1620"/>
        <w:gridCol w:w="1345"/>
      </w:tblGrid>
      <w:tr w:rsidR="002743B5" w14:paraId="46285BFD" w14:textId="77777777" w:rsidTr="002743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9A3CBED" w14:textId="60286B30" w:rsidR="002743B5" w:rsidRDefault="002743B5">
            <w:pPr>
              <w:rPr>
                <w:rFonts w:ascii="Calibri" w:hAnsi="Calibri" w:cs="Calibri"/>
                <w:sz w:val="22"/>
                <w:szCs w:val="22"/>
              </w:rPr>
            </w:pPr>
            <w:r w:rsidRPr="002743B5">
              <w:rPr>
                <w:rFonts w:ascii="Calibri" w:hAnsi="Calibri" w:cs="Calibri"/>
                <w:sz w:val="22"/>
                <w:szCs w:val="22"/>
              </w:rPr>
              <w:t>Expense Category</w:t>
            </w:r>
          </w:p>
        </w:tc>
        <w:tc>
          <w:tcPr>
            <w:tcW w:w="1440" w:type="dxa"/>
          </w:tcPr>
          <w:p w14:paraId="4BD3422D" w14:textId="02106BE2" w:rsidR="002743B5" w:rsidRDefault="002743B5">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2743B5">
              <w:rPr>
                <w:rFonts w:ascii="Calibri" w:hAnsi="Calibri" w:cs="Calibri"/>
                <w:sz w:val="22"/>
                <w:szCs w:val="22"/>
              </w:rPr>
              <w:t>Month 1</w:t>
            </w:r>
          </w:p>
        </w:tc>
        <w:tc>
          <w:tcPr>
            <w:tcW w:w="1530" w:type="dxa"/>
          </w:tcPr>
          <w:p w14:paraId="029E9497" w14:textId="16FE2A4B" w:rsidR="002743B5" w:rsidRDefault="002743B5">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2743B5">
              <w:rPr>
                <w:rFonts w:ascii="Calibri" w:hAnsi="Calibri" w:cs="Calibri"/>
                <w:sz w:val="22"/>
                <w:szCs w:val="22"/>
              </w:rPr>
              <w:t>Month 2</w:t>
            </w:r>
          </w:p>
        </w:tc>
        <w:tc>
          <w:tcPr>
            <w:tcW w:w="1440" w:type="dxa"/>
          </w:tcPr>
          <w:p w14:paraId="18B708F9" w14:textId="3978B0AF" w:rsidR="002743B5" w:rsidRDefault="002743B5">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2743B5">
              <w:rPr>
                <w:rFonts w:ascii="Calibri" w:hAnsi="Calibri" w:cs="Calibri"/>
                <w:sz w:val="22"/>
                <w:szCs w:val="22"/>
              </w:rPr>
              <w:t xml:space="preserve">Month </w:t>
            </w:r>
            <w:r>
              <w:rPr>
                <w:rFonts w:ascii="Calibri" w:hAnsi="Calibri" w:cs="Calibri"/>
                <w:sz w:val="22"/>
                <w:szCs w:val="22"/>
              </w:rPr>
              <w:t>3</w:t>
            </w:r>
          </w:p>
        </w:tc>
        <w:tc>
          <w:tcPr>
            <w:tcW w:w="1620" w:type="dxa"/>
          </w:tcPr>
          <w:p w14:paraId="40E00111" w14:textId="4EC18BF4" w:rsidR="002743B5" w:rsidRDefault="002743B5">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2743B5">
              <w:rPr>
                <w:rFonts w:ascii="Calibri" w:hAnsi="Calibri" w:cs="Calibri"/>
                <w:sz w:val="22"/>
                <w:szCs w:val="22"/>
              </w:rPr>
              <w:t xml:space="preserve">Month </w:t>
            </w:r>
            <w:r>
              <w:rPr>
                <w:rFonts w:ascii="Calibri" w:hAnsi="Calibri" w:cs="Calibri"/>
                <w:sz w:val="22"/>
                <w:szCs w:val="22"/>
              </w:rPr>
              <w:t>4-</w:t>
            </w:r>
            <w:r w:rsidRPr="002743B5">
              <w:rPr>
                <w:rFonts w:ascii="Calibri" w:hAnsi="Calibri" w:cs="Calibri"/>
                <w:sz w:val="22"/>
                <w:szCs w:val="22"/>
              </w:rPr>
              <w:t>12</w:t>
            </w:r>
          </w:p>
        </w:tc>
        <w:tc>
          <w:tcPr>
            <w:tcW w:w="1345" w:type="dxa"/>
          </w:tcPr>
          <w:p w14:paraId="6C95B407" w14:textId="31417DBB" w:rsidR="002743B5" w:rsidRDefault="002743B5">
            <w:pPr>
              <w:cnfStyle w:val="100000000000" w:firstRow="1" w:lastRow="0" w:firstColumn="0" w:lastColumn="0" w:oddVBand="0" w:evenVBand="0" w:oddHBand="0" w:evenHBand="0" w:firstRowFirstColumn="0" w:firstRowLastColumn="0" w:lastRowFirstColumn="0" w:lastRowLastColumn="0"/>
              <w:rPr>
                <w:rFonts w:ascii="Calibri" w:hAnsi="Calibri" w:cs="Calibri"/>
                <w:sz w:val="22"/>
                <w:szCs w:val="22"/>
              </w:rPr>
            </w:pPr>
            <w:r w:rsidRPr="002743B5">
              <w:rPr>
                <w:rFonts w:ascii="Calibri" w:hAnsi="Calibri" w:cs="Calibri"/>
                <w:sz w:val="22"/>
                <w:szCs w:val="22"/>
              </w:rPr>
              <w:t>Total</w:t>
            </w:r>
          </w:p>
        </w:tc>
      </w:tr>
      <w:tr w:rsidR="002743B5" w14:paraId="4ABFC2AF" w14:textId="77777777" w:rsidTr="00274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155DE509" w14:textId="6480B22C"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Rent</w:t>
            </w:r>
          </w:p>
        </w:tc>
        <w:tc>
          <w:tcPr>
            <w:tcW w:w="1440" w:type="dxa"/>
          </w:tcPr>
          <w:p w14:paraId="4E2841DE"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530" w:type="dxa"/>
          </w:tcPr>
          <w:p w14:paraId="7973B2F1"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440" w:type="dxa"/>
          </w:tcPr>
          <w:p w14:paraId="66A4CAD3"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5B05E37B"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345" w:type="dxa"/>
          </w:tcPr>
          <w:p w14:paraId="0BF4D5EE"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2743B5" w14:paraId="38A6AD40" w14:textId="77777777" w:rsidTr="002743B5">
        <w:tc>
          <w:tcPr>
            <w:cnfStyle w:val="001000000000" w:firstRow="0" w:lastRow="0" w:firstColumn="1" w:lastColumn="0" w:oddVBand="0" w:evenVBand="0" w:oddHBand="0" w:evenHBand="0" w:firstRowFirstColumn="0" w:firstRowLastColumn="0" w:lastRowFirstColumn="0" w:lastRowLastColumn="0"/>
            <w:tcW w:w="1975" w:type="dxa"/>
          </w:tcPr>
          <w:p w14:paraId="399C8865" w14:textId="3FC3BDF8"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Utilities</w:t>
            </w:r>
          </w:p>
        </w:tc>
        <w:tc>
          <w:tcPr>
            <w:tcW w:w="1440" w:type="dxa"/>
          </w:tcPr>
          <w:p w14:paraId="452955D8"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530" w:type="dxa"/>
          </w:tcPr>
          <w:p w14:paraId="5DCF206D"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440" w:type="dxa"/>
          </w:tcPr>
          <w:p w14:paraId="6E1BD115"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3C310A84"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345" w:type="dxa"/>
          </w:tcPr>
          <w:p w14:paraId="406D3568"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2743B5" w14:paraId="04DC55EA" w14:textId="77777777" w:rsidTr="00274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D513B40" w14:textId="077EB997"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Salaries</w:t>
            </w:r>
          </w:p>
        </w:tc>
        <w:tc>
          <w:tcPr>
            <w:tcW w:w="1440" w:type="dxa"/>
          </w:tcPr>
          <w:p w14:paraId="605AFFA2"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530" w:type="dxa"/>
          </w:tcPr>
          <w:p w14:paraId="1E0DCD95"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440" w:type="dxa"/>
          </w:tcPr>
          <w:p w14:paraId="12949DE8"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6A7A7969"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345" w:type="dxa"/>
          </w:tcPr>
          <w:p w14:paraId="7790B0D2"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2743B5" w14:paraId="78752D2B" w14:textId="77777777" w:rsidTr="002743B5">
        <w:tc>
          <w:tcPr>
            <w:cnfStyle w:val="001000000000" w:firstRow="0" w:lastRow="0" w:firstColumn="1" w:lastColumn="0" w:oddVBand="0" w:evenVBand="0" w:oddHBand="0" w:evenHBand="0" w:firstRowFirstColumn="0" w:firstRowLastColumn="0" w:lastRowFirstColumn="0" w:lastRowLastColumn="0"/>
            <w:tcW w:w="1975" w:type="dxa"/>
          </w:tcPr>
          <w:p w14:paraId="13D89B99" w14:textId="7F32F0C3"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Marketing</w:t>
            </w:r>
          </w:p>
        </w:tc>
        <w:tc>
          <w:tcPr>
            <w:tcW w:w="1440" w:type="dxa"/>
          </w:tcPr>
          <w:p w14:paraId="77D5E8C9"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530" w:type="dxa"/>
          </w:tcPr>
          <w:p w14:paraId="64506DAA"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440" w:type="dxa"/>
          </w:tcPr>
          <w:p w14:paraId="7C8BFC54"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215C2019"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345" w:type="dxa"/>
          </w:tcPr>
          <w:p w14:paraId="6648230A"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2743B5" w14:paraId="0DF9D6CA" w14:textId="77777777" w:rsidTr="00274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4252B219" w14:textId="4BBC9BFB"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Office Supplies</w:t>
            </w:r>
          </w:p>
        </w:tc>
        <w:tc>
          <w:tcPr>
            <w:tcW w:w="1440" w:type="dxa"/>
          </w:tcPr>
          <w:p w14:paraId="79873D13"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530" w:type="dxa"/>
          </w:tcPr>
          <w:p w14:paraId="543EF37E"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440" w:type="dxa"/>
          </w:tcPr>
          <w:p w14:paraId="0E1010B4"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195D7A65"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345" w:type="dxa"/>
          </w:tcPr>
          <w:p w14:paraId="322D4697"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2743B5" w14:paraId="68E91196" w14:textId="77777777" w:rsidTr="002743B5">
        <w:tc>
          <w:tcPr>
            <w:cnfStyle w:val="001000000000" w:firstRow="0" w:lastRow="0" w:firstColumn="1" w:lastColumn="0" w:oddVBand="0" w:evenVBand="0" w:oddHBand="0" w:evenHBand="0" w:firstRowFirstColumn="0" w:firstRowLastColumn="0" w:lastRowFirstColumn="0" w:lastRowLastColumn="0"/>
            <w:tcW w:w="1975" w:type="dxa"/>
          </w:tcPr>
          <w:p w14:paraId="44B1C53F" w14:textId="5CEDFA3D"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Equipment Leasing</w:t>
            </w:r>
          </w:p>
        </w:tc>
        <w:tc>
          <w:tcPr>
            <w:tcW w:w="1440" w:type="dxa"/>
          </w:tcPr>
          <w:p w14:paraId="72E8CEC3"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530" w:type="dxa"/>
          </w:tcPr>
          <w:p w14:paraId="6850F69D"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440" w:type="dxa"/>
          </w:tcPr>
          <w:p w14:paraId="0511D4E8"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18218307"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345" w:type="dxa"/>
          </w:tcPr>
          <w:p w14:paraId="58AC669A"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2743B5" w14:paraId="43116C84" w14:textId="77777777" w:rsidTr="00274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50549A0F" w14:textId="7E861F1E"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Travel Expenses</w:t>
            </w:r>
          </w:p>
        </w:tc>
        <w:tc>
          <w:tcPr>
            <w:tcW w:w="1440" w:type="dxa"/>
          </w:tcPr>
          <w:p w14:paraId="58A700DF"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530" w:type="dxa"/>
          </w:tcPr>
          <w:p w14:paraId="19D95989"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440" w:type="dxa"/>
          </w:tcPr>
          <w:p w14:paraId="424C8D2C"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0DD0B7DD"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345" w:type="dxa"/>
          </w:tcPr>
          <w:p w14:paraId="1B2A5BD3"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2743B5" w14:paraId="1F35112D" w14:textId="77777777" w:rsidTr="002743B5">
        <w:tc>
          <w:tcPr>
            <w:cnfStyle w:val="001000000000" w:firstRow="0" w:lastRow="0" w:firstColumn="1" w:lastColumn="0" w:oddVBand="0" w:evenVBand="0" w:oddHBand="0" w:evenHBand="0" w:firstRowFirstColumn="0" w:firstRowLastColumn="0" w:lastRowFirstColumn="0" w:lastRowLastColumn="0"/>
            <w:tcW w:w="1975" w:type="dxa"/>
          </w:tcPr>
          <w:p w14:paraId="6F5E2E68" w14:textId="658D0FAE"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Insurance</w:t>
            </w:r>
          </w:p>
        </w:tc>
        <w:tc>
          <w:tcPr>
            <w:tcW w:w="1440" w:type="dxa"/>
          </w:tcPr>
          <w:p w14:paraId="0B274EE9"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530" w:type="dxa"/>
          </w:tcPr>
          <w:p w14:paraId="7E0AEF52"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440" w:type="dxa"/>
          </w:tcPr>
          <w:p w14:paraId="048C2337"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0F2FA35D"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345" w:type="dxa"/>
          </w:tcPr>
          <w:p w14:paraId="319AEAF9"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r w:rsidR="002743B5" w14:paraId="5E0C87A9" w14:textId="77777777" w:rsidTr="002743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31927170" w14:textId="57332E6F" w:rsidR="002743B5" w:rsidRPr="002743B5" w:rsidRDefault="002743B5">
            <w:pPr>
              <w:rPr>
                <w:rFonts w:ascii="Calibri" w:hAnsi="Calibri" w:cs="Calibri"/>
                <w:b w:val="0"/>
                <w:bCs w:val="0"/>
                <w:sz w:val="22"/>
                <w:szCs w:val="22"/>
              </w:rPr>
            </w:pPr>
            <w:r w:rsidRPr="002743B5">
              <w:rPr>
                <w:rFonts w:ascii="Calibri" w:hAnsi="Calibri" w:cs="Calibri"/>
                <w:b w:val="0"/>
                <w:bCs w:val="0"/>
                <w:sz w:val="22"/>
                <w:szCs w:val="22"/>
              </w:rPr>
              <w:t>Other</w:t>
            </w:r>
          </w:p>
        </w:tc>
        <w:tc>
          <w:tcPr>
            <w:tcW w:w="1440" w:type="dxa"/>
          </w:tcPr>
          <w:p w14:paraId="5A16ABC7"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530" w:type="dxa"/>
          </w:tcPr>
          <w:p w14:paraId="32C8E62F"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440" w:type="dxa"/>
          </w:tcPr>
          <w:p w14:paraId="60335A56"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620" w:type="dxa"/>
          </w:tcPr>
          <w:p w14:paraId="2D1D771A"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c>
          <w:tcPr>
            <w:tcW w:w="1345" w:type="dxa"/>
          </w:tcPr>
          <w:p w14:paraId="5E6EDC76" w14:textId="77777777" w:rsidR="002743B5" w:rsidRDefault="002743B5">
            <w:pPr>
              <w:cnfStyle w:val="000000100000" w:firstRow="0" w:lastRow="0" w:firstColumn="0" w:lastColumn="0" w:oddVBand="0" w:evenVBand="0" w:oddHBand="1" w:evenHBand="0" w:firstRowFirstColumn="0" w:firstRowLastColumn="0" w:lastRowFirstColumn="0" w:lastRowLastColumn="0"/>
              <w:rPr>
                <w:rFonts w:ascii="Calibri" w:hAnsi="Calibri" w:cs="Calibri"/>
                <w:sz w:val="22"/>
                <w:szCs w:val="22"/>
              </w:rPr>
            </w:pPr>
          </w:p>
        </w:tc>
      </w:tr>
      <w:tr w:rsidR="002743B5" w14:paraId="1433540D" w14:textId="77777777" w:rsidTr="002743B5">
        <w:tc>
          <w:tcPr>
            <w:cnfStyle w:val="001000000000" w:firstRow="0" w:lastRow="0" w:firstColumn="1" w:lastColumn="0" w:oddVBand="0" w:evenVBand="0" w:oddHBand="0" w:evenHBand="0" w:firstRowFirstColumn="0" w:firstRowLastColumn="0" w:lastRowFirstColumn="0" w:lastRowLastColumn="0"/>
            <w:tcW w:w="1975" w:type="dxa"/>
          </w:tcPr>
          <w:p w14:paraId="29D58EA8" w14:textId="4D92DA85" w:rsidR="002743B5" w:rsidRPr="002743B5" w:rsidRDefault="002743B5">
            <w:pPr>
              <w:rPr>
                <w:rFonts w:ascii="Calibri" w:hAnsi="Calibri" w:cs="Calibri"/>
                <w:sz w:val="22"/>
                <w:szCs w:val="22"/>
              </w:rPr>
            </w:pPr>
            <w:r w:rsidRPr="002743B5">
              <w:rPr>
                <w:rFonts w:ascii="Calibri" w:hAnsi="Calibri" w:cs="Calibri"/>
                <w:sz w:val="22"/>
                <w:szCs w:val="22"/>
              </w:rPr>
              <w:t>Total Expenses</w:t>
            </w:r>
          </w:p>
        </w:tc>
        <w:tc>
          <w:tcPr>
            <w:tcW w:w="1440" w:type="dxa"/>
          </w:tcPr>
          <w:p w14:paraId="00CE8499"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530" w:type="dxa"/>
          </w:tcPr>
          <w:p w14:paraId="0DC19297"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440" w:type="dxa"/>
          </w:tcPr>
          <w:p w14:paraId="56215664"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620" w:type="dxa"/>
          </w:tcPr>
          <w:p w14:paraId="57FC0DC2"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c>
          <w:tcPr>
            <w:tcW w:w="1345" w:type="dxa"/>
          </w:tcPr>
          <w:p w14:paraId="7BA8C24F" w14:textId="77777777" w:rsidR="002743B5" w:rsidRDefault="002743B5">
            <w:pPr>
              <w:cnfStyle w:val="000000000000" w:firstRow="0" w:lastRow="0" w:firstColumn="0" w:lastColumn="0" w:oddVBand="0" w:evenVBand="0" w:oddHBand="0" w:evenHBand="0" w:firstRowFirstColumn="0" w:firstRowLastColumn="0" w:lastRowFirstColumn="0" w:lastRowLastColumn="0"/>
              <w:rPr>
                <w:rFonts w:ascii="Calibri" w:hAnsi="Calibri" w:cs="Calibri"/>
                <w:sz w:val="22"/>
                <w:szCs w:val="22"/>
              </w:rPr>
            </w:pPr>
          </w:p>
        </w:tc>
      </w:tr>
    </w:tbl>
    <w:p w14:paraId="33766024" w14:textId="77777777" w:rsidR="002743B5" w:rsidRDefault="002743B5">
      <w:pPr>
        <w:rPr>
          <w:rFonts w:ascii="Calibri" w:hAnsi="Calibri" w:cs="Calibri"/>
          <w:sz w:val="22"/>
          <w:szCs w:val="22"/>
        </w:rPr>
      </w:pPr>
    </w:p>
    <w:p w14:paraId="14B93CFF" w14:textId="7D063013" w:rsidR="002743B5" w:rsidRPr="002743B5" w:rsidRDefault="002743B5" w:rsidP="002743B5">
      <w:pPr>
        <w:rPr>
          <w:rFonts w:ascii="Calibri" w:hAnsi="Calibri" w:cs="Calibri"/>
          <w:sz w:val="22"/>
          <w:szCs w:val="22"/>
        </w:rPr>
      </w:pPr>
      <w:r w:rsidRPr="002743B5">
        <w:rPr>
          <w:rFonts w:ascii="Calibri" w:hAnsi="Calibri" w:cs="Calibri"/>
          <w:sz w:val="22"/>
          <w:szCs w:val="22"/>
        </w:rPr>
        <w:t>Instructions:</w:t>
      </w:r>
    </w:p>
    <w:p w14:paraId="2165D0B7" w14:textId="77777777" w:rsidR="002743B5" w:rsidRPr="002743B5" w:rsidRDefault="002743B5" w:rsidP="002743B5">
      <w:pPr>
        <w:pStyle w:val="ListParagraph"/>
        <w:numPr>
          <w:ilvl w:val="0"/>
          <w:numId w:val="1"/>
        </w:numPr>
        <w:rPr>
          <w:rFonts w:ascii="Calibri" w:hAnsi="Calibri" w:cs="Calibri"/>
          <w:sz w:val="22"/>
          <w:szCs w:val="22"/>
        </w:rPr>
      </w:pPr>
      <w:r w:rsidRPr="002743B5">
        <w:rPr>
          <w:rFonts w:ascii="Calibri" w:hAnsi="Calibri" w:cs="Calibri"/>
          <w:sz w:val="22"/>
          <w:szCs w:val="22"/>
        </w:rPr>
        <w:t>Fill in the "Expense Category" column with various monthly expense categories such as rent, utilities, salaries, marketing, etc.</w:t>
      </w:r>
    </w:p>
    <w:p w14:paraId="5A04BA4C" w14:textId="77777777" w:rsidR="002743B5" w:rsidRPr="002743B5" w:rsidRDefault="002743B5" w:rsidP="002743B5">
      <w:pPr>
        <w:pStyle w:val="ListParagraph"/>
        <w:numPr>
          <w:ilvl w:val="0"/>
          <w:numId w:val="1"/>
        </w:numPr>
        <w:rPr>
          <w:rFonts w:ascii="Calibri" w:hAnsi="Calibri" w:cs="Calibri"/>
          <w:sz w:val="22"/>
          <w:szCs w:val="22"/>
        </w:rPr>
      </w:pPr>
      <w:r w:rsidRPr="002743B5">
        <w:rPr>
          <w:rFonts w:ascii="Calibri" w:hAnsi="Calibri" w:cs="Calibri"/>
          <w:sz w:val="22"/>
          <w:szCs w:val="22"/>
        </w:rPr>
        <w:t>In each subsequent column (Month 1, Month 2, ..., Month 12), project the estimated expenses for each category for the corresponding month.</w:t>
      </w:r>
    </w:p>
    <w:p w14:paraId="026BC9D5" w14:textId="77777777" w:rsidR="002743B5" w:rsidRPr="002743B5" w:rsidRDefault="002743B5" w:rsidP="002743B5">
      <w:pPr>
        <w:pStyle w:val="ListParagraph"/>
        <w:numPr>
          <w:ilvl w:val="0"/>
          <w:numId w:val="1"/>
        </w:numPr>
        <w:rPr>
          <w:rFonts w:ascii="Calibri" w:hAnsi="Calibri" w:cs="Calibri"/>
          <w:sz w:val="22"/>
          <w:szCs w:val="22"/>
        </w:rPr>
      </w:pPr>
      <w:r w:rsidRPr="002743B5">
        <w:rPr>
          <w:rFonts w:ascii="Calibri" w:hAnsi="Calibri" w:cs="Calibri"/>
          <w:sz w:val="22"/>
          <w:szCs w:val="22"/>
        </w:rPr>
        <w:t>As you forecast expenses for each month, input the amounts into the respective cells.</w:t>
      </w:r>
    </w:p>
    <w:p w14:paraId="7C2AAA25" w14:textId="77777777" w:rsidR="002743B5" w:rsidRPr="002743B5" w:rsidRDefault="002743B5" w:rsidP="002743B5">
      <w:pPr>
        <w:pStyle w:val="ListParagraph"/>
        <w:numPr>
          <w:ilvl w:val="0"/>
          <w:numId w:val="1"/>
        </w:numPr>
        <w:rPr>
          <w:rFonts w:ascii="Calibri" w:hAnsi="Calibri" w:cs="Calibri"/>
          <w:sz w:val="22"/>
          <w:szCs w:val="22"/>
        </w:rPr>
      </w:pPr>
      <w:r w:rsidRPr="002743B5">
        <w:rPr>
          <w:rFonts w:ascii="Calibri" w:hAnsi="Calibri" w:cs="Calibri"/>
          <w:sz w:val="22"/>
          <w:szCs w:val="22"/>
        </w:rPr>
        <w:t>The spreadsheet will automatically calculate the total forecasted expenses for each month by summing up the expenses in each category.</w:t>
      </w:r>
    </w:p>
    <w:p w14:paraId="0BCE4F5F" w14:textId="77777777" w:rsidR="002743B5" w:rsidRPr="002743B5" w:rsidRDefault="002743B5" w:rsidP="002743B5">
      <w:pPr>
        <w:pStyle w:val="ListParagraph"/>
        <w:numPr>
          <w:ilvl w:val="0"/>
          <w:numId w:val="1"/>
        </w:numPr>
        <w:rPr>
          <w:rFonts w:ascii="Calibri" w:hAnsi="Calibri" w:cs="Calibri"/>
          <w:sz w:val="22"/>
          <w:szCs w:val="22"/>
        </w:rPr>
      </w:pPr>
      <w:r w:rsidRPr="002743B5">
        <w:rPr>
          <w:rFonts w:ascii="Calibri" w:hAnsi="Calibri" w:cs="Calibri"/>
          <w:sz w:val="22"/>
          <w:szCs w:val="22"/>
        </w:rPr>
        <w:t>The "Total Expenses" row at the bottom will show the sum of all expenses for each month.</w:t>
      </w:r>
    </w:p>
    <w:p w14:paraId="0438A2D2" w14:textId="77777777" w:rsidR="002743B5" w:rsidRDefault="002743B5" w:rsidP="002743B5">
      <w:pPr>
        <w:rPr>
          <w:rFonts w:ascii="Calibri" w:hAnsi="Calibri" w:cs="Calibri"/>
          <w:sz w:val="22"/>
          <w:szCs w:val="22"/>
        </w:rPr>
      </w:pPr>
    </w:p>
    <w:p w14:paraId="4BB1504D" w14:textId="46C1647B" w:rsidR="002743B5" w:rsidRPr="002743B5" w:rsidRDefault="002743B5" w:rsidP="002743B5">
      <w:pPr>
        <w:rPr>
          <w:rFonts w:ascii="Calibri" w:hAnsi="Calibri" w:cs="Calibri"/>
          <w:sz w:val="22"/>
          <w:szCs w:val="22"/>
        </w:rPr>
      </w:pPr>
      <w:r w:rsidRPr="002743B5">
        <w:rPr>
          <w:rFonts w:ascii="Calibri" w:hAnsi="Calibri" w:cs="Calibri"/>
          <w:sz w:val="22"/>
          <w:szCs w:val="22"/>
        </w:rPr>
        <w:t>You can extend this template to include additional expense categories or customize it further based on your specific business needs. Additionally, you can add more detailed breakdowns within each expense category if required.</w:t>
      </w:r>
    </w:p>
    <w:sectPr w:rsidR="002743B5" w:rsidRPr="002743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3A5CF5"/>
    <w:multiLevelType w:val="hybridMultilevel"/>
    <w:tmpl w:val="0088DD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30559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3B5"/>
    <w:rsid w:val="002743B5"/>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8D74F"/>
  <w15:chartTrackingRefBased/>
  <w15:docId w15:val="{0157BAB2-3065-44D3-8BF3-D0DD522F2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43B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43B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43B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43B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43B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43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43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43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43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43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43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43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43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43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43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43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43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43B5"/>
    <w:rPr>
      <w:rFonts w:eastAsiaTheme="majorEastAsia" w:cstheme="majorBidi"/>
      <w:color w:val="272727" w:themeColor="text1" w:themeTint="D8"/>
    </w:rPr>
  </w:style>
  <w:style w:type="paragraph" w:styleId="Title">
    <w:name w:val="Title"/>
    <w:basedOn w:val="Normal"/>
    <w:next w:val="Normal"/>
    <w:link w:val="TitleChar"/>
    <w:uiPriority w:val="10"/>
    <w:qFormat/>
    <w:rsid w:val="002743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43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43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43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43B5"/>
    <w:pPr>
      <w:spacing w:before="160"/>
      <w:jc w:val="center"/>
    </w:pPr>
    <w:rPr>
      <w:i/>
      <w:iCs/>
      <w:color w:val="404040" w:themeColor="text1" w:themeTint="BF"/>
    </w:rPr>
  </w:style>
  <w:style w:type="character" w:customStyle="1" w:styleId="QuoteChar">
    <w:name w:val="Quote Char"/>
    <w:basedOn w:val="DefaultParagraphFont"/>
    <w:link w:val="Quote"/>
    <w:uiPriority w:val="29"/>
    <w:rsid w:val="002743B5"/>
    <w:rPr>
      <w:i/>
      <w:iCs/>
      <w:color w:val="404040" w:themeColor="text1" w:themeTint="BF"/>
    </w:rPr>
  </w:style>
  <w:style w:type="paragraph" w:styleId="ListParagraph">
    <w:name w:val="List Paragraph"/>
    <w:basedOn w:val="Normal"/>
    <w:uiPriority w:val="34"/>
    <w:qFormat/>
    <w:rsid w:val="002743B5"/>
    <w:pPr>
      <w:ind w:left="720"/>
      <w:contextualSpacing/>
    </w:pPr>
  </w:style>
  <w:style w:type="character" w:styleId="IntenseEmphasis">
    <w:name w:val="Intense Emphasis"/>
    <w:basedOn w:val="DefaultParagraphFont"/>
    <w:uiPriority w:val="21"/>
    <w:qFormat/>
    <w:rsid w:val="002743B5"/>
    <w:rPr>
      <w:i/>
      <w:iCs/>
      <w:color w:val="0F4761" w:themeColor="accent1" w:themeShade="BF"/>
    </w:rPr>
  </w:style>
  <w:style w:type="paragraph" w:styleId="IntenseQuote">
    <w:name w:val="Intense Quote"/>
    <w:basedOn w:val="Normal"/>
    <w:next w:val="Normal"/>
    <w:link w:val="IntenseQuoteChar"/>
    <w:uiPriority w:val="30"/>
    <w:qFormat/>
    <w:rsid w:val="002743B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43B5"/>
    <w:rPr>
      <w:i/>
      <w:iCs/>
      <w:color w:val="0F4761" w:themeColor="accent1" w:themeShade="BF"/>
    </w:rPr>
  </w:style>
  <w:style w:type="character" w:styleId="IntenseReference">
    <w:name w:val="Intense Reference"/>
    <w:basedOn w:val="DefaultParagraphFont"/>
    <w:uiPriority w:val="32"/>
    <w:qFormat/>
    <w:rsid w:val="002743B5"/>
    <w:rPr>
      <w:b/>
      <w:bCs/>
      <w:smallCaps/>
      <w:color w:val="0F4761" w:themeColor="accent1" w:themeShade="BF"/>
      <w:spacing w:val="5"/>
    </w:rPr>
  </w:style>
  <w:style w:type="table" w:styleId="TableGrid">
    <w:name w:val="Table Grid"/>
    <w:basedOn w:val="TableNormal"/>
    <w:uiPriority w:val="39"/>
    <w:rsid w:val="002743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2743B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2743B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2024-05-02T00:20:00Z</dcterms:created>
  <dcterms:modified xsi:type="dcterms:W3CDTF">2024-05-02T00:28:00Z</dcterms:modified>
</cp:coreProperties>
</file>