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C71A9" w14:textId="77777777" w:rsidR="00D64A80" w:rsidRPr="00D64A80" w:rsidRDefault="00D64A80" w:rsidP="00D64A80">
      <w:pPr>
        <w:rPr>
          <w:rFonts w:ascii="Calibri" w:hAnsi="Calibri" w:cs="Calibri"/>
          <w:b/>
          <w:bCs/>
          <w:sz w:val="22"/>
          <w:szCs w:val="22"/>
        </w:rPr>
      </w:pPr>
      <w:r w:rsidRPr="00D64A80">
        <w:rPr>
          <w:rFonts w:ascii="Calibri" w:hAnsi="Calibri" w:cs="Calibri"/>
          <w:b/>
          <w:bCs/>
          <w:sz w:val="22"/>
          <w:szCs w:val="22"/>
        </w:rPr>
        <w:t>Potential Financial Risks and Mitigation Strategies to Overcome Them</w:t>
      </w:r>
    </w:p>
    <w:p w14:paraId="44313058" w14:textId="77777777" w:rsidR="00D64A80" w:rsidRPr="00D64A80" w:rsidRDefault="00D64A80" w:rsidP="00D64A80">
      <w:pPr>
        <w:rPr>
          <w:rFonts w:ascii="Calibri" w:hAnsi="Calibri" w:cs="Calibri"/>
          <w:sz w:val="22"/>
          <w:szCs w:val="22"/>
        </w:rPr>
      </w:pPr>
    </w:p>
    <w:p w14:paraId="423694C2"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Market Risk</w:t>
      </w:r>
      <w:r w:rsidRPr="00D64A80">
        <w:rPr>
          <w:rFonts w:ascii="Calibri" w:hAnsi="Calibri" w:cs="Calibri"/>
          <w:sz w:val="22"/>
          <w:szCs w:val="22"/>
        </w:rPr>
        <w:t>:</w:t>
      </w:r>
    </w:p>
    <w:p w14:paraId="42F59EC8" w14:textId="77777777" w:rsidR="00D64A80" w:rsidRPr="00D64A80" w:rsidRDefault="00D64A80" w:rsidP="00D64A80">
      <w:pPr>
        <w:pStyle w:val="ListParagraph"/>
        <w:numPr>
          <w:ilvl w:val="0"/>
          <w:numId w:val="1"/>
        </w:numPr>
        <w:rPr>
          <w:rFonts w:ascii="Calibri" w:hAnsi="Calibri" w:cs="Calibri"/>
          <w:sz w:val="22"/>
          <w:szCs w:val="22"/>
        </w:rPr>
      </w:pPr>
      <w:r w:rsidRPr="00D64A80">
        <w:rPr>
          <w:rFonts w:ascii="Calibri" w:hAnsi="Calibri" w:cs="Calibri"/>
          <w:sz w:val="22"/>
          <w:szCs w:val="22"/>
        </w:rPr>
        <w:t>Description: Market risk refers to the potential loss resulting from adverse movements in financial markets, including fluctuations in stock prices, interest rates, exchange rates, and commodity prices.</w:t>
      </w:r>
    </w:p>
    <w:p w14:paraId="63D9435C" w14:textId="77777777" w:rsidR="00D64A80" w:rsidRPr="00D64A80" w:rsidRDefault="00D64A80" w:rsidP="00D64A80">
      <w:pPr>
        <w:pStyle w:val="ListParagraph"/>
        <w:numPr>
          <w:ilvl w:val="0"/>
          <w:numId w:val="1"/>
        </w:numPr>
        <w:rPr>
          <w:rFonts w:ascii="Calibri" w:hAnsi="Calibri" w:cs="Calibri"/>
          <w:sz w:val="22"/>
          <w:szCs w:val="22"/>
        </w:rPr>
      </w:pPr>
      <w:r w:rsidRPr="00D64A80">
        <w:rPr>
          <w:rFonts w:ascii="Calibri" w:hAnsi="Calibri" w:cs="Calibri"/>
          <w:sz w:val="22"/>
          <w:szCs w:val="22"/>
        </w:rPr>
        <w:t>Mitigation Strategy: Diversify investment portfolios across different asset classes and geographic regions to spread risk exposure. Utilize hedging instruments such as futures, options, and swaps to protect against adverse market movements.</w:t>
      </w:r>
    </w:p>
    <w:p w14:paraId="20F9FF0F"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Credit Risk</w:t>
      </w:r>
      <w:r w:rsidRPr="00D64A80">
        <w:rPr>
          <w:rFonts w:ascii="Calibri" w:hAnsi="Calibri" w:cs="Calibri"/>
          <w:sz w:val="22"/>
          <w:szCs w:val="22"/>
        </w:rPr>
        <w:t>:</w:t>
      </w:r>
    </w:p>
    <w:p w14:paraId="31BAA5BC" w14:textId="77777777" w:rsidR="00D64A80" w:rsidRPr="00D64A80" w:rsidRDefault="00D64A80" w:rsidP="00D64A80">
      <w:pPr>
        <w:pStyle w:val="ListParagraph"/>
        <w:numPr>
          <w:ilvl w:val="0"/>
          <w:numId w:val="2"/>
        </w:numPr>
        <w:rPr>
          <w:rFonts w:ascii="Calibri" w:hAnsi="Calibri" w:cs="Calibri"/>
          <w:sz w:val="22"/>
          <w:szCs w:val="22"/>
        </w:rPr>
      </w:pPr>
      <w:r w:rsidRPr="00D64A80">
        <w:rPr>
          <w:rFonts w:ascii="Calibri" w:hAnsi="Calibri" w:cs="Calibri"/>
          <w:sz w:val="22"/>
          <w:szCs w:val="22"/>
        </w:rPr>
        <w:t>Description: Credit risk arises from the potential of financial loss due to the failure of counterparties to fulfill their contractual obligations, such as defaulting on loans or failing to pay invoices.</w:t>
      </w:r>
    </w:p>
    <w:p w14:paraId="6074FB7B" w14:textId="77777777" w:rsidR="00D64A80" w:rsidRPr="00D64A80" w:rsidRDefault="00D64A80" w:rsidP="00D64A80">
      <w:pPr>
        <w:pStyle w:val="ListParagraph"/>
        <w:numPr>
          <w:ilvl w:val="0"/>
          <w:numId w:val="2"/>
        </w:numPr>
        <w:rPr>
          <w:rFonts w:ascii="Calibri" w:hAnsi="Calibri" w:cs="Calibri"/>
          <w:sz w:val="22"/>
          <w:szCs w:val="22"/>
        </w:rPr>
      </w:pPr>
      <w:r w:rsidRPr="00D64A80">
        <w:rPr>
          <w:rFonts w:ascii="Calibri" w:hAnsi="Calibri" w:cs="Calibri"/>
          <w:sz w:val="22"/>
          <w:szCs w:val="22"/>
        </w:rPr>
        <w:t>Mitigation Strategy: Conduct thorough credit assessments and due diligence on customers, suppliers, and counterparties before extending credit. Implement credit limits, credit insurance, and collateral requirements to mitigate the risk of non-payment or default.</w:t>
      </w:r>
    </w:p>
    <w:p w14:paraId="02E083E4"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Liquidity Risk</w:t>
      </w:r>
      <w:r w:rsidRPr="00D64A80">
        <w:rPr>
          <w:rFonts w:ascii="Calibri" w:hAnsi="Calibri" w:cs="Calibri"/>
          <w:sz w:val="22"/>
          <w:szCs w:val="22"/>
        </w:rPr>
        <w:t>:</w:t>
      </w:r>
    </w:p>
    <w:p w14:paraId="7A306C02" w14:textId="77777777" w:rsidR="00D64A80" w:rsidRPr="00D64A80" w:rsidRDefault="00D64A80" w:rsidP="00D64A80">
      <w:pPr>
        <w:pStyle w:val="ListParagraph"/>
        <w:numPr>
          <w:ilvl w:val="0"/>
          <w:numId w:val="3"/>
        </w:numPr>
        <w:rPr>
          <w:rFonts w:ascii="Calibri" w:hAnsi="Calibri" w:cs="Calibri"/>
          <w:sz w:val="22"/>
          <w:szCs w:val="22"/>
        </w:rPr>
      </w:pPr>
      <w:r w:rsidRPr="00D64A80">
        <w:rPr>
          <w:rFonts w:ascii="Calibri" w:hAnsi="Calibri" w:cs="Calibri"/>
          <w:sz w:val="22"/>
          <w:szCs w:val="22"/>
        </w:rPr>
        <w:t>Description: Liquidity risk is the risk of being unable to meet short-term financial obligations due to a lack of liquid assets or an inability to access funding sources.</w:t>
      </w:r>
    </w:p>
    <w:p w14:paraId="2EAC930C" w14:textId="77777777" w:rsidR="00D64A80" w:rsidRPr="00D64A80" w:rsidRDefault="00D64A80" w:rsidP="00D64A80">
      <w:pPr>
        <w:pStyle w:val="ListParagraph"/>
        <w:numPr>
          <w:ilvl w:val="0"/>
          <w:numId w:val="3"/>
        </w:numPr>
        <w:rPr>
          <w:rFonts w:ascii="Calibri" w:hAnsi="Calibri" w:cs="Calibri"/>
          <w:sz w:val="22"/>
          <w:szCs w:val="22"/>
        </w:rPr>
      </w:pPr>
      <w:r w:rsidRPr="00D64A80">
        <w:rPr>
          <w:rFonts w:ascii="Calibri" w:hAnsi="Calibri" w:cs="Calibri"/>
          <w:sz w:val="22"/>
          <w:szCs w:val="22"/>
        </w:rPr>
        <w:t>Mitigation Strategy: Maintain sufficient cash reserves and liquid assets to meet short-term obligations and unexpected cash flow needs. Establish lines of credit, overdraft facilities, and emergency funding sources to address liquidity shortages.</w:t>
      </w:r>
    </w:p>
    <w:p w14:paraId="2D9209C1"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Interest Rate Risk</w:t>
      </w:r>
      <w:r w:rsidRPr="00D64A80">
        <w:rPr>
          <w:rFonts w:ascii="Calibri" w:hAnsi="Calibri" w:cs="Calibri"/>
          <w:sz w:val="22"/>
          <w:szCs w:val="22"/>
        </w:rPr>
        <w:t>:</w:t>
      </w:r>
    </w:p>
    <w:p w14:paraId="568CF526" w14:textId="77777777" w:rsidR="00D64A80" w:rsidRPr="00D64A80" w:rsidRDefault="00D64A80" w:rsidP="00D64A80">
      <w:pPr>
        <w:pStyle w:val="ListParagraph"/>
        <w:numPr>
          <w:ilvl w:val="0"/>
          <w:numId w:val="4"/>
        </w:numPr>
        <w:rPr>
          <w:rFonts w:ascii="Calibri" w:hAnsi="Calibri" w:cs="Calibri"/>
          <w:sz w:val="22"/>
          <w:szCs w:val="22"/>
        </w:rPr>
      </w:pPr>
      <w:r w:rsidRPr="00D64A80">
        <w:rPr>
          <w:rFonts w:ascii="Calibri" w:hAnsi="Calibri" w:cs="Calibri"/>
          <w:sz w:val="22"/>
          <w:szCs w:val="22"/>
        </w:rPr>
        <w:t>Description: Interest rate risk refers to the potential loss resulting from changes in interest rates, impacting the value of fixed-income securities, loans, and other interest-sensitive assets and liabilities.</w:t>
      </w:r>
    </w:p>
    <w:p w14:paraId="78A589F1" w14:textId="77777777" w:rsidR="00D64A80" w:rsidRPr="00D64A80" w:rsidRDefault="00D64A80" w:rsidP="00D64A80">
      <w:pPr>
        <w:pStyle w:val="ListParagraph"/>
        <w:numPr>
          <w:ilvl w:val="0"/>
          <w:numId w:val="4"/>
        </w:numPr>
        <w:rPr>
          <w:rFonts w:ascii="Calibri" w:hAnsi="Calibri" w:cs="Calibri"/>
          <w:sz w:val="22"/>
          <w:szCs w:val="22"/>
        </w:rPr>
      </w:pPr>
      <w:r w:rsidRPr="00D64A80">
        <w:rPr>
          <w:rFonts w:ascii="Calibri" w:hAnsi="Calibri" w:cs="Calibri"/>
          <w:sz w:val="22"/>
          <w:szCs w:val="22"/>
        </w:rPr>
        <w:t>Mitigation Strategy: Utilize interest rate derivatives such as interest rate swaps and options to manage exposure to fluctuations in interest rates. Consider fixing interest rates through long-term financing arrangements to hedge against rising interest rates.</w:t>
      </w:r>
    </w:p>
    <w:p w14:paraId="01A9EC46"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Foreign Exchange (FX) Risk</w:t>
      </w:r>
      <w:r w:rsidRPr="00D64A80">
        <w:rPr>
          <w:rFonts w:ascii="Calibri" w:hAnsi="Calibri" w:cs="Calibri"/>
          <w:sz w:val="22"/>
          <w:szCs w:val="22"/>
        </w:rPr>
        <w:t>:</w:t>
      </w:r>
    </w:p>
    <w:p w14:paraId="6ED9E782" w14:textId="77777777" w:rsidR="00D64A80" w:rsidRPr="00D64A80" w:rsidRDefault="00D64A80" w:rsidP="00D64A80">
      <w:pPr>
        <w:pStyle w:val="ListParagraph"/>
        <w:numPr>
          <w:ilvl w:val="0"/>
          <w:numId w:val="5"/>
        </w:numPr>
        <w:rPr>
          <w:rFonts w:ascii="Calibri" w:hAnsi="Calibri" w:cs="Calibri"/>
          <w:sz w:val="22"/>
          <w:szCs w:val="22"/>
        </w:rPr>
      </w:pPr>
      <w:r w:rsidRPr="00D64A80">
        <w:rPr>
          <w:rFonts w:ascii="Calibri" w:hAnsi="Calibri" w:cs="Calibri"/>
          <w:sz w:val="22"/>
          <w:szCs w:val="22"/>
        </w:rPr>
        <w:t>Description: FX risk arises from fluctuations in exchange rates, leading to potential losses or gains when converting foreign currency-denominated assets, liabilities, revenues, and expenses.</w:t>
      </w:r>
    </w:p>
    <w:p w14:paraId="38935B44" w14:textId="77777777" w:rsidR="00D64A80" w:rsidRPr="00D64A80" w:rsidRDefault="00D64A80" w:rsidP="00D64A80">
      <w:pPr>
        <w:pStyle w:val="ListParagraph"/>
        <w:numPr>
          <w:ilvl w:val="0"/>
          <w:numId w:val="5"/>
        </w:numPr>
        <w:rPr>
          <w:rFonts w:ascii="Calibri" w:hAnsi="Calibri" w:cs="Calibri"/>
          <w:sz w:val="22"/>
          <w:szCs w:val="22"/>
        </w:rPr>
      </w:pPr>
      <w:r w:rsidRPr="00D64A80">
        <w:rPr>
          <w:rFonts w:ascii="Calibri" w:hAnsi="Calibri" w:cs="Calibri"/>
          <w:sz w:val="22"/>
          <w:szCs w:val="22"/>
        </w:rPr>
        <w:t>Mitigation Strategy: Hedge currency exposure using forward contracts, options, and currency swaps to lock in exchange rates for future transactions. Maintain multi-currency accounts and use natural hedges to offset FX risk.</w:t>
      </w:r>
    </w:p>
    <w:p w14:paraId="08211A72"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lastRenderedPageBreak/>
        <w:t>Operational Risk</w:t>
      </w:r>
      <w:r w:rsidRPr="00D64A80">
        <w:rPr>
          <w:rFonts w:ascii="Calibri" w:hAnsi="Calibri" w:cs="Calibri"/>
          <w:sz w:val="22"/>
          <w:szCs w:val="22"/>
        </w:rPr>
        <w:t>:</w:t>
      </w:r>
    </w:p>
    <w:p w14:paraId="7900399D" w14:textId="77777777" w:rsidR="00D64A80" w:rsidRPr="00D64A80" w:rsidRDefault="00D64A80" w:rsidP="00D64A80">
      <w:pPr>
        <w:pStyle w:val="ListParagraph"/>
        <w:numPr>
          <w:ilvl w:val="0"/>
          <w:numId w:val="6"/>
        </w:numPr>
        <w:rPr>
          <w:rFonts w:ascii="Calibri" w:hAnsi="Calibri" w:cs="Calibri"/>
          <w:sz w:val="22"/>
          <w:szCs w:val="22"/>
        </w:rPr>
      </w:pPr>
      <w:r w:rsidRPr="00D64A80">
        <w:rPr>
          <w:rFonts w:ascii="Calibri" w:hAnsi="Calibri" w:cs="Calibri"/>
          <w:sz w:val="22"/>
          <w:szCs w:val="22"/>
        </w:rPr>
        <w:t>Description: Operational risk encompasses the potential loss resulting from inadequate or failed internal processes, systems, human errors, external events, or fraud.</w:t>
      </w:r>
    </w:p>
    <w:p w14:paraId="18AF30B4" w14:textId="77777777" w:rsidR="00D64A80" w:rsidRPr="00D64A80" w:rsidRDefault="00D64A80" w:rsidP="00D64A80">
      <w:pPr>
        <w:pStyle w:val="ListParagraph"/>
        <w:numPr>
          <w:ilvl w:val="0"/>
          <w:numId w:val="6"/>
        </w:numPr>
        <w:rPr>
          <w:rFonts w:ascii="Calibri" w:hAnsi="Calibri" w:cs="Calibri"/>
          <w:sz w:val="22"/>
          <w:szCs w:val="22"/>
        </w:rPr>
      </w:pPr>
      <w:r w:rsidRPr="00D64A80">
        <w:rPr>
          <w:rFonts w:ascii="Calibri" w:hAnsi="Calibri" w:cs="Calibri"/>
          <w:sz w:val="22"/>
          <w:szCs w:val="22"/>
        </w:rPr>
        <w:t>Mitigation Strategy: Implement robust internal controls, procedures, and risk management systems to identify, assess, and mitigate operational risks. Invest in staff training, technology upgrades, and process improvements to enhance operational resilience.</w:t>
      </w:r>
    </w:p>
    <w:p w14:paraId="13EC15D3"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Regulatory and Compliance Risk</w:t>
      </w:r>
      <w:r w:rsidRPr="00D64A80">
        <w:rPr>
          <w:rFonts w:ascii="Calibri" w:hAnsi="Calibri" w:cs="Calibri"/>
          <w:sz w:val="22"/>
          <w:szCs w:val="22"/>
        </w:rPr>
        <w:t>:</w:t>
      </w:r>
    </w:p>
    <w:p w14:paraId="630E0E7A" w14:textId="77777777" w:rsidR="00D64A80" w:rsidRPr="00D64A80" w:rsidRDefault="00D64A80" w:rsidP="00D64A80">
      <w:pPr>
        <w:pStyle w:val="ListParagraph"/>
        <w:numPr>
          <w:ilvl w:val="0"/>
          <w:numId w:val="7"/>
        </w:numPr>
        <w:rPr>
          <w:rFonts w:ascii="Calibri" w:hAnsi="Calibri" w:cs="Calibri"/>
          <w:sz w:val="22"/>
          <w:szCs w:val="22"/>
        </w:rPr>
      </w:pPr>
      <w:r w:rsidRPr="00D64A80">
        <w:rPr>
          <w:rFonts w:ascii="Calibri" w:hAnsi="Calibri" w:cs="Calibri"/>
          <w:sz w:val="22"/>
          <w:szCs w:val="22"/>
        </w:rPr>
        <w:t>Description: Regulatory and compliance risk arises from the failure to comply with laws, regulations, and industry standards, leading to legal penalties, fines, reputational damage, and business disruption.</w:t>
      </w:r>
    </w:p>
    <w:p w14:paraId="2D4E3B75" w14:textId="77777777" w:rsidR="00D64A80" w:rsidRPr="00D64A80" w:rsidRDefault="00D64A80" w:rsidP="00D64A80">
      <w:pPr>
        <w:pStyle w:val="ListParagraph"/>
        <w:numPr>
          <w:ilvl w:val="0"/>
          <w:numId w:val="7"/>
        </w:numPr>
        <w:rPr>
          <w:rFonts w:ascii="Calibri" w:hAnsi="Calibri" w:cs="Calibri"/>
          <w:sz w:val="22"/>
          <w:szCs w:val="22"/>
        </w:rPr>
      </w:pPr>
      <w:r w:rsidRPr="00D64A80">
        <w:rPr>
          <w:rFonts w:ascii="Calibri" w:hAnsi="Calibri" w:cs="Calibri"/>
          <w:sz w:val="22"/>
          <w:szCs w:val="22"/>
        </w:rPr>
        <w:t>Mitigation Strategy: Stay abreast of regulatory developments and compliance requirements relevant to the industry and geographic regions where the business operates. Establish compliance policies, procedures, and training programs to ensure adherence to laws and regulations.</w:t>
      </w:r>
    </w:p>
    <w:p w14:paraId="2D4BC8E1"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Cybersecurity Risk</w:t>
      </w:r>
      <w:r w:rsidRPr="00D64A80">
        <w:rPr>
          <w:rFonts w:ascii="Calibri" w:hAnsi="Calibri" w:cs="Calibri"/>
          <w:sz w:val="22"/>
          <w:szCs w:val="22"/>
        </w:rPr>
        <w:t>:</w:t>
      </w:r>
    </w:p>
    <w:p w14:paraId="4F661D41" w14:textId="77777777" w:rsidR="00D64A80" w:rsidRPr="00D64A80" w:rsidRDefault="00D64A80" w:rsidP="00D64A80">
      <w:pPr>
        <w:pStyle w:val="ListParagraph"/>
        <w:numPr>
          <w:ilvl w:val="0"/>
          <w:numId w:val="8"/>
        </w:numPr>
        <w:rPr>
          <w:rFonts w:ascii="Calibri" w:hAnsi="Calibri" w:cs="Calibri"/>
          <w:sz w:val="22"/>
          <w:szCs w:val="22"/>
        </w:rPr>
      </w:pPr>
      <w:r w:rsidRPr="00D64A80">
        <w:rPr>
          <w:rFonts w:ascii="Calibri" w:hAnsi="Calibri" w:cs="Calibri"/>
          <w:sz w:val="22"/>
          <w:szCs w:val="22"/>
        </w:rPr>
        <w:t>Description: Cybersecurity risk refers to the potential loss or damage resulting from cyber threats, including data breaches, malware attacks, phishing scams, and ransomware incidents.</w:t>
      </w:r>
    </w:p>
    <w:p w14:paraId="1B7D2553" w14:textId="77777777" w:rsidR="00D64A80" w:rsidRPr="00D64A80" w:rsidRDefault="00D64A80" w:rsidP="00D64A80">
      <w:pPr>
        <w:pStyle w:val="ListParagraph"/>
        <w:numPr>
          <w:ilvl w:val="0"/>
          <w:numId w:val="8"/>
        </w:numPr>
        <w:rPr>
          <w:rFonts w:ascii="Calibri" w:hAnsi="Calibri" w:cs="Calibri"/>
          <w:sz w:val="22"/>
          <w:szCs w:val="22"/>
        </w:rPr>
      </w:pPr>
      <w:r w:rsidRPr="00D64A80">
        <w:rPr>
          <w:rFonts w:ascii="Calibri" w:hAnsi="Calibri" w:cs="Calibri"/>
          <w:sz w:val="22"/>
          <w:szCs w:val="22"/>
        </w:rPr>
        <w:t>Mitigation Strategy: Implement cybersecurity measures such as firewalls, encryption, antivirus software, and regular security audits to protect against cyber threats and data breaches. Train employees on cybersecurity best practices and establish incident response plans.</w:t>
      </w:r>
    </w:p>
    <w:p w14:paraId="2B0DAB68"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Reputational Risk</w:t>
      </w:r>
      <w:r w:rsidRPr="00D64A80">
        <w:rPr>
          <w:rFonts w:ascii="Calibri" w:hAnsi="Calibri" w:cs="Calibri"/>
          <w:sz w:val="22"/>
          <w:szCs w:val="22"/>
        </w:rPr>
        <w:t>:</w:t>
      </w:r>
    </w:p>
    <w:p w14:paraId="46758ED8" w14:textId="77777777" w:rsidR="00D64A80" w:rsidRPr="00D64A80" w:rsidRDefault="00D64A80" w:rsidP="00D64A80">
      <w:pPr>
        <w:pStyle w:val="ListParagraph"/>
        <w:numPr>
          <w:ilvl w:val="0"/>
          <w:numId w:val="9"/>
        </w:numPr>
        <w:rPr>
          <w:rFonts w:ascii="Calibri" w:hAnsi="Calibri" w:cs="Calibri"/>
          <w:sz w:val="22"/>
          <w:szCs w:val="22"/>
        </w:rPr>
      </w:pPr>
      <w:r w:rsidRPr="00D64A80">
        <w:rPr>
          <w:rFonts w:ascii="Calibri" w:hAnsi="Calibri" w:cs="Calibri"/>
          <w:sz w:val="22"/>
          <w:szCs w:val="22"/>
        </w:rPr>
        <w:t>Description: Reputational risk is the potential harm to a company's reputation or brand image due to negative publicity, scandals, ethical lapses, or poor business practices.</w:t>
      </w:r>
    </w:p>
    <w:p w14:paraId="26F5DB0C" w14:textId="77777777" w:rsidR="00D64A80" w:rsidRPr="00D64A80" w:rsidRDefault="00D64A80" w:rsidP="00D64A80">
      <w:pPr>
        <w:pStyle w:val="ListParagraph"/>
        <w:numPr>
          <w:ilvl w:val="0"/>
          <w:numId w:val="9"/>
        </w:numPr>
        <w:rPr>
          <w:rFonts w:ascii="Calibri" w:hAnsi="Calibri" w:cs="Calibri"/>
          <w:sz w:val="22"/>
          <w:szCs w:val="22"/>
        </w:rPr>
      </w:pPr>
      <w:r w:rsidRPr="00D64A80">
        <w:rPr>
          <w:rFonts w:ascii="Calibri" w:hAnsi="Calibri" w:cs="Calibri"/>
          <w:sz w:val="22"/>
          <w:szCs w:val="22"/>
        </w:rPr>
        <w:t>Mitigation Strategy: Build a strong corporate reputation through ethical business practices, transparent communication, and proactive stakeholder engagement. Monitor social media and online channels for reputation threats and address issues promptly.</w:t>
      </w:r>
    </w:p>
    <w:p w14:paraId="40E12863"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Supply Chain Risk</w:t>
      </w:r>
      <w:r w:rsidRPr="00D64A80">
        <w:rPr>
          <w:rFonts w:ascii="Calibri" w:hAnsi="Calibri" w:cs="Calibri"/>
          <w:sz w:val="22"/>
          <w:szCs w:val="22"/>
        </w:rPr>
        <w:t>:</w:t>
      </w:r>
    </w:p>
    <w:p w14:paraId="18D72D51" w14:textId="77777777" w:rsidR="00D64A80" w:rsidRPr="00D64A80" w:rsidRDefault="00D64A80" w:rsidP="00D64A80">
      <w:pPr>
        <w:pStyle w:val="ListParagraph"/>
        <w:numPr>
          <w:ilvl w:val="0"/>
          <w:numId w:val="10"/>
        </w:numPr>
        <w:rPr>
          <w:rFonts w:ascii="Calibri" w:hAnsi="Calibri" w:cs="Calibri"/>
          <w:sz w:val="22"/>
          <w:szCs w:val="22"/>
        </w:rPr>
      </w:pPr>
      <w:r w:rsidRPr="00D64A80">
        <w:rPr>
          <w:rFonts w:ascii="Calibri" w:hAnsi="Calibri" w:cs="Calibri"/>
          <w:sz w:val="22"/>
          <w:szCs w:val="22"/>
        </w:rPr>
        <w:t>Description: Supply chain risk arises from disruptions or failures in the supply chain, including supplier bankruptcies, production delays, transportation bottlenecks, and geopolitical tensions.</w:t>
      </w:r>
    </w:p>
    <w:p w14:paraId="11F23D9E" w14:textId="77777777" w:rsidR="00D64A80" w:rsidRPr="00D64A80" w:rsidRDefault="00D64A80" w:rsidP="00D64A80">
      <w:pPr>
        <w:pStyle w:val="ListParagraph"/>
        <w:numPr>
          <w:ilvl w:val="0"/>
          <w:numId w:val="10"/>
        </w:numPr>
        <w:rPr>
          <w:rFonts w:ascii="Calibri" w:hAnsi="Calibri" w:cs="Calibri"/>
          <w:sz w:val="22"/>
          <w:szCs w:val="22"/>
        </w:rPr>
      </w:pPr>
      <w:r w:rsidRPr="00D64A80">
        <w:rPr>
          <w:rFonts w:ascii="Calibri" w:hAnsi="Calibri" w:cs="Calibri"/>
          <w:sz w:val="22"/>
          <w:szCs w:val="22"/>
        </w:rPr>
        <w:t>Mitigation Strategy: Diversify supplier relationships and maintain alternative sources of supply to mitigate disruptions in the supply chain. Conduct supplier assessments, implement supplier risk management programs, and establish contingency plans for supply chain disruptions.</w:t>
      </w:r>
    </w:p>
    <w:p w14:paraId="15328AED"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Commodity Price Risk</w:t>
      </w:r>
      <w:r w:rsidRPr="00D64A80">
        <w:rPr>
          <w:rFonts w:ascii="Calibri" w:hAnsi="Calibri" w:cs="Calibri"/>
          <w:sz w:val="22"/>
          <w:szCs w:val="22"/>
        </w:rPr>
        <w:t>:</w:t>
      </w:r>
    </w:p>
    <w:p w14:paraId="4F08663C" w14:textId="77777777" w:rsidR="00D64A80" w:rsidRPr="00D64A80" w:rsidRDefault="00D64A80" w:rsidP="00D64A80">
      <w:pPr>
        <w:pStyle w:val="ListParagraph"/>
        <w:numPr>
          <w:ilvl w:val="0"/>
          <w:numId w:val="11"/>
        </w:numPr>
        <w:rPr>
          <w:rFonts w:ascii="Calibri" w:hAnsi="Calibri" w:cs="Calibri"/>
          <w:sz w:val="22"/>
          <w:szCs w:val="22"/>
        </w:rPr>
      </w:pPr>
      <w:r w:rsidRPr="00D64A80">
        <w:rPr>
          <w:rFonts w:ascii="Calibri" w:hAnsi="Calibri" w:cs="Calibri"/>
          <w:sz w:val="22"/>
          <w:szCs w:val="22"/>
        </w:rPr>
        <w:t>Description: Commodity price risk is the potential loss resulting from fluctuations in the prices of raw materials, energy, and other commodities used in production processes.</w:t>
      </w:r>
    </w:p>
    <w:p w14:paraId="1046F839" w14:textId="77777777" w:rsidR="00D64A80" w:rsidRPr="00D64A80" w:rsidRDefault="00D64A80" w:rsidP="00D64A80">
      <w:pPr>
        <w:pStyle w:val="ListParagraph"/>
        <w:numPr>
          <w:ilvl w:val="0"/>
          <w:numId w:val="11"/>
        </w:numPr>
        <w:rPr>
          <w:rFonts w:ascii="Calibri" w:hAnsi="Calibri" w:cs="Calibri"/>
          <w:sz w:val="22"/>
          <w:szCs w:val="22"/>
        </w:rPr>
      </w:pPr>
      <w:r w:rsidRPr="00D64A80">
        <w:rPr>
          <w:rFonts w:ascii="Calibri" w:hAnsi="Calibri" w:cs="Calibri"/>
          <w:sz w:val="22"/>
          <w:szCs w:val="22"/>
        </w:rPr>
        <w:lastRenderedPageBreak/>
        <w:t>Mitigation Strategy: Hedge commodity price exposure using futures contracts, options, and commodity swaps to lock in prices and mitigate the impact of price fluctuations on raw material costs. Explore alternative materials and production methods to reduce dependency on volatile commodities.</w:t>
      </w:r>
    </w:p>
    <w:p w14:paraId="0DAD4FD1"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Legal Risk</w:t>
      </w:r>
      <w:r w:rsidRPr="00D64A80">
        <w:rPr>
          <w:rFonts w:ascii="Calibri" w:hAnsi="Calibri" w:cs="Calibri"/>
          <w:sz w:val="22"/>
          <w:szCs w:val="22"/>
        </w:rPr>
        <w:t>:</w:t>
      </w:r>
    </w:p>
    <w:p w14:paraId="4CDBC5BD" w14:textId="77777777" w:rsidR="00D64A80" w:rsidRPr="00D64A80" w:rsidRDefault="00D64A80" w:rsidP="00D64A80">
      <w:pPr>
        <w:pStyle w:val="ListParagraph"/>
        <w:numPr>
          <w:ilvl w:val="0"/>
          <w:numId w:val="12"/>
        </w:numPr>
        <w:rPr>
          <w:rFonts w:ascii="Calibri" w:hAnsi="Calibri" w:cs="Calibri"/>
          <w:sz w:val="22"/>
          <w:szCs w:val="22"/>
        </w:rPr>
      </w:pPr>
      <w:r w:rsidRPr="00D64A80">
        <w:rPr>
          <w:rFonts w:ascii="Calibri" w:hAnsi="Calibri" w:cs="Calibri"/>
          <w:sz w:val="22"/>
          <w:szCs w:val="22"/>
        </w:rPr>
        <w:t>Description: Legal risk arises from lawsuits, litigation, regulatory enforcement actions, contractual disputes, intellectual property infringements, and other legal challenges that could result in financial losses or legal liabilities.</w:t>
      </w:r>
    </w:p>
    <w:p w14:paraId="263DC212" w14:textId="77777777" w:rsidR="00D64A80" w:rsidRPr="00D64A80" w:rsidRDefault="00D64A80" w:rsidP="00D64A80">
      <w:pPr>
        <w:pStyle w:val="ListParagraph"/>
        <w:numPr>
          <w:ilvl w:val="0"/>
          <w:numId w:val="12"/>
        </w:numPr>
        <w:rPr>
          <w:rFonts w:ascii="Calibri" w:hAnsi="Calibri" w:cs="Calibri"/>
          <w:sz w:val="22"/>
          <w:szCs w:val="22"/>
        </w:rPr>
      </w:pPr>
      <w:r w:rsidRPr="00D64A80">
        <w:rPr>
          <w:rFonts w:ascii="Calibri" w:hAnsi="Calibri" w:cs="Calibri"/>
          <w:sz w:val="22"/>
          <w:szCs w:val="22"/>
        </w:rPr>
        <w:t>Mitigation Strategy: Retain qualified legal counsel to provide guidance on legal matters and ensure compliance with laws, contracts, and agreements. Maintain comprehensive insurance coverage, including liability insurance, professional indemnity insurance, and directors' and officers' insurance.</w:t>
      </w:r>
    </w:p>
    <w:p w14:paraId="2A4B0149" w14:textId="77777777" w:rsidR="00D64A80" w:rsidRPr="00D64A80" w:rsidRDefault="00D64A80" w:rsidP="00D64A80">
      <w:pPr>
        <w:rPr>
          <w:rFonts w:ascii="Calibri" w:hAnsi="Calibri" w:cs="Calibri"/>
          <w:sz w:val="22"/>
          <w:szCs w:val="22"/>
        </w:rPr>
      </w:pPr>
      <w:r w:rsidRPr="00D64A80">
        <w:rPr>
          <w:rFonts w:ascii="Calibri" w:hAnsi="Calibri" w:cs="Calibri"/>
          <w:b/>
          <w:bCs/>
          <w:sz w:val="22"/>
          <w:szCs w:val="22"/>
        </w:rPr>
        <w:t>Political and Geopolitical Risk</w:t>
      </w:r>
      <w:r w:rsidRPr="00D64A80">
        <w:rPr>
          <w:rFonts w:ascii="Calibri" w:hAnsi="Calibri" w:cs="Calibri"/>
          <w:sz w:val="22"/>
          <w:szCs w:val="22"/>
        </w:rPr>
        <w:t>:</w:t>
      </w:r>
    </w:p>
    <w:p w14:paraId="1A7D11B5" w14:textId="77777777" w:rsidR="00D64A80" w:rsidRPr="00D64A80" w:rsidRDefault="00D64A80" w:rsidP="00D64A80">
      <w:pPr>
        <w:pStyle w:val="ListParagraph"/>
        <w:numPr>
          <w:ilvl w:val="0"/>
          <w:numId w:val="13"/>
        </w:numPr>
        <w:rPr>
          <w:rFonts w:ascii="Calibri" w:hAnsi="Calibri" w:cs="Calibri"/>
          <w:sz w:val="22"/>
          <w:szCs w:val="22"/>
        </w:rPr>
      </w:pPr>
      <w:r w:rsidRPr="00D64A80">
        <w:rPr>
          <w:rFonts w:ascii="Calibri" w:hAnsi="Calibri" w:cs="Calibri"/>
          <w:sz w:val="22"/>
          <w:szCs w:val="22"/>
        </w:rPr>
        <w:t>Description: Political and geopolitical risk stems from changes in government policies, regulations, trade agreements, geopolitical tensions, civil unrest, and political instability that could impact business operations, investments, and international trade.</w:t>
      </w:r>
    </w:p>
    <w:p w14:paraId="2BC0AE9D" w14:textId="4B1D0B78" w:rsidR="00BD4BD9" w:rsidRPr="00D64A80" w:rsidRDefault="00D64A80" w:rsidP="00D64A80">
      <w:pPr>
        <w:pStyle w:val="ListParagraph"/>
        <w:numPr>
          <w:ilvl w:val="0"/>
          <w:numId w:val="13"/>
        </w:numPr>
        <w:rPr>
          <w:rFonts w:ascii="Calibri" w:hAnsi="Calibri" w:cs="Calibri"/>
          <w:sz w:val="22"/>
          <w:szCs w:val="22"/>
        </w:rPr>
      </w:pPr>
      <w:r w:rsidRPr="00D64A80">
        <w:rPr>
          <w:rFonts w:ascii="Calibri" w:hAnsi="Calibri" w:cs="Calibri"/>
          <w:sz w:val="22"/>
          <w:szCs w:val="22"/>
        </w:rPr>
        <w:t>Mitigation Strategy: Stay informed about political and geopolitical developments that could impact business operations, investments, and international trade. Diversify geographic exposure and consider political risk insurance or investment guarantees for overseas investments.</w:t>
      </w:r>
    </w:p>
    <w:sectPr w:rsidR="00BD4BD9" w:rsidRPr="00D64A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07709"/>
    <w:multiLevelType w:val="hybridMultilevel"/>
    <w:tmpl w:val="EB0A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3487A"/>
    <w:multiLevelType w:val="hybridMultilevel"/>
    <w:tmpl w:val="7B08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95B9E"/>
    <w:multiLevelType w:val="hybridMultilevel"/>
    <w:tmpl w:val="155C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14C0B"/>
    <w:multiLevelType w:val="hybridMultilevel"/>
    <w:tmpl w:val="F8EC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62AC6"/>
    <w:multiLevelType w:val="hybridMultilevel"/>
    <w:tmpl w:val="6BE4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423CD"/>
    <w:multiLevelType w:val="hybridMultilevel"/>
    <w:tmpl w:val="62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A265B"/>
    <w:multiLevelType w:val="hybridMultilevel"/>
    <w:tmpl w:val="37B8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F2335"/>
    <w:multiLevelType w:val="hybridMultilevel"/>
    <w:tmpl w:val="D952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8367E"/>
    <w:multiLevelType w:val="hybridMultilevel"/>
    <w:tmpl w:val="878A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CB6156"/>
    <w:multiLevelType w:val="hybridMultilevel"/>
    <w:tmpl w:val="D348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C7ADD"/>
    <w:multiLevelType w:val="hybridMultilevel"/>
    <w:tmpl w:val="93EE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B32992"/>
    <w:multiLevelType w:val="hybridMultilevel"/>
    <w:tmpl w:val="E4C8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491BE5"/>
    <w:multiLevelType w:val="hybridMultilevel"/>
    <w:tmpl w:val="8D52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43147">
    <w:abstractNumId w:val="10"/>
  </w:num>
  <w:num w:numId="2" w16cid:durableId="1339189926">
    <w:abstractNumId w:val="3"/>
  </w:num>
  <w:num w:numId="3" w16cid:durableId="2055542432">
    <w:abstractNumId w:val="1"/>
  </w:num>
  <w:num w:numId="4" w16cid:durableId="502936735">
    <w:abstractNumId w:val="11"/>
  </w:num>
  <w:num w:numId="5" w16cid:durableId="1852258353">
    <w:abstractNumId w:val="12"/>
  </w:num>
  <w:num w:numId="6" w16cid:durableId="267856325">
    <w:abstractNumId w:val="4"/>
  </w:num>
  <w:num w:numId="7" w16cid:durableId="580725880">
    <w:abstractNumId w:val="7"/>
  </w:num>
  <w:num w:numId="8" w16cid:durableId="1810588408">
    <w:abstractNumId w:val="2"/>
  </w:num>
  <w:num w:numId="9" w16cid:durableId="2098597098">
    <w:abstractNumId w:val="0"/>
  </w:num>
  <w:num w:numId="10" w16cid:durableId="668022277">
    <w:abstractNumId w:val="5"/>
  </w:num>
  <w:num w:numId="11" w16cid:durableId="1073967787">
    <w:abstractNumId w:val="9"/>
  </w:num>
  <w:num w:numId="12" w16cid:durableId="448011717">
    <w:abstractNumId w:val="6"/>
  </w:num>
  <w:num w:numId="13" w16cid:durableId="353728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80"/>
    <w:rsid w:val="00B175BC"/>
    <w:rsid w:val="00BD4BD9"/>
    <w:rsid w:val="00D64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E8A2"/>
  <w15:chartTrackingRefBased/>
  <w15:docId w15:val="{215BD8E6-7821-4CD8-8D5D-5907BF67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A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A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A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A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A80"/>
    <w:rPr>
      <w:rFonts w:eastAsiaTheme="majorEastAsia" w:cstheme="majorBidi"/>
      <w:color w:val="272727" w:themeColor="text1" w:themeTint="D8"/>
    </w:rPr>
  </w:style>
  <w:style w:type="paragraph" w:styleId="Title">
    <w:name w:val="Title"/>
    <w:basedOn w:val="Normal"/>
    <w:next w:val="Normal"/>
    <w:link w:val="TitleChar"/>
    <w:uiPriority w:val="10"/>
    <w:qFormat/>
    <w:rsid w:val="00D64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A80"/>
    <w:pPr>
      <w:spacing w:before="160"/>
      <w:jc w:val="center"/>
    </w:pPr>
    <w:rPr>
      <w:i/>
      <w:iCs/>
      <w:color w:val="404040" w:themeColor="text1" w:themeTint="BF"/>
    </w:rPr>
  </w:style>
  <w:style w:type="character" w:customStyle="1" w:styleId="QuoteChar">
    <w:name w:val="Quote Char"/>
    <w:basedOn w:val="DefaultParagraphFont"/>
    <w:link w:val="Quote"/>
    <w:uiPriority w:val="29"/>
    <w:rsid w:val="00D64A80"/>
    <w:rPr>
      <w:i/>
      <w:iCs/>
      <w:color w:val="404040" w:themeColor="text1" w:themeTint="BF"/>
    </w:rPr>
  </w:style>
  <w:style w:type="paragraph" w:styleId="ListParagraph">
    <w:name w:val="List Paragraph"/>
    <w:basedOn w:val="Normal"/>
    <w:uiPriority w:val="34"/>
    <w:qFormat/>
    <w:rsid w:val="00D64A80"/>
    <w:pPr>
      <w:ind w:left="720"/>
      <w:contextualSpacing/>
    </w:pPr>
  </w:style>
  <w:style w:type="character" w:styleId="IntenseEmphasis">
    <w:name w:val="Intense Emphasis"/>
    <w:basedOn w:val="DefaultParagraphFont"/>
    <w:uiPriority w:val="21"/>
    <w:qFormat/>
    <w:rsid w:val="00D64A80"/>
    <w:rPr>
      <w:i/>
      <w:iCs/>
      <w:color w:val="0F4761" w:themeColor="accent1" w:themeShade="BF"/>
    </w:rPr>
  </w:style>
  <w:style w:type="paragraph" w:styleId="IntenseQuote">
    <w:name w:val="Intense Quote"/>
    <w:basedOn w:val="Normal"/>
    <w:next w:val="Normal"/>
    <w:link w:val="IntenseQuoteChar"/>
    <w:uiPriority w:val="30"/>
    <w:qFormat/>
    <w:rsid w:val="00D64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A80"/>
    <w:rPr>
      <w:i/>
      <w:iCs/>
      <w:color w:val="0F4761" w:themeColor="accent1" w:themeShade="BF"/>
    </w:rPr>
  </w:style>
  <w:style w:type="character" w:styleId="IntenseReference">
    <w:name w:val="Intense Reference"/>
    <w:basedOn w:val="DefaultParagraphFont"/>
    <w:uiPriority w:val="32"/>
    <w:qFormat/>
    <w:rsid w:val="00D64A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948</Words>
  <Characters>5405</Characters>
  <Application>Microsoft Office Word</Application>
  <DocSecurity>0</DocSecurity>
  <Lines>45</Lines>
  <Paragraphs>12</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2024-05-08T15:58:00Z</dcterms:created>
  <dcterms:modified xsi:type="dcterms:W3CDTF">2024-05-08T16:07:00Z</dcterms:modified>
</cp:coreProperties>
</file>