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B8726" w14:textId="77777777" w:rsidR="00AF4485" w:rsidRPr="00AF4485" w:rsidRDefault="00AF4485" w:rsidP="00AF4485">
      <w:pPr>
        <w:rPr>
          <w:rFonts w:ascii="Calibri" w:hAnsi="Calibri" w:cs="Calibri"/>
          <w:b/>
          <w:bCs/>
          <w:sz w:val="22"/>
          <w:szCs w:val="22"/>
        </w:rPr>
      </w:pPr>
      <w:r w:rsidRPr="00AF4485">
        <w:rPr>
          <w:rFonts w:ascii="Calibri" w:hAnsi="Calibri" w:cs="Calibri"/>
          <w:b/>
          <w:bCs/>
          <w:sz w:val="22"/>
          <w:szCs w:val="22"/>
        </w:rPr>
        <w:t>Tools for Managing Currency Exchange and International Transactions</w:t>
      </w:r>
    </w:p>
    <w:p w14:paraId="255CA28F" w14:textId="77777777" w:rsidR="00AF4485" w:rsidRPr="00AF4485" w:rsidRDefault="00AF4485" w:rsidP="00AF4485">
      <w:pPr>
        <w:rPr>
          <w:rFonts w:ascii="Calibri" w:hAnsi="Calibri" w:cs="Calibri"/>
          <w:sz w:val="22"/>
          <w:szCs w:val="22"/>
        </w:rPr>
      </w:pPr>
    </w:p>
    <w:p w14:paraId="229B29C9" w14:textId="6816BD8F"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Online Currency Converters:</w:t>
      </w:r>
      <w:r w:rsidRPr="006E64EE">
        <w:rPr>
          <w:rFonts w:ascii="Calibri" w:hAnsi="Calibri" w:cs="Calibri"/>
          <w:sz w:val="22"/>
          <w:szCs w:val="22"/>
        </w:rPr>
        <w:t xml:space="preserve"> </w:t>
      </w:r>
      <w:r w:rsidRPr="006E64EE">
        <w:rPr>
          <w:rFonts w:ascii="Calibri" w:hAnsi="Calibri" w:cs="Calibri"/>
          <w:sz w:val="22"/>
          <w:szCs w:val="22"/>
        </w:rPr>
        <w:t xml:space="preserve">Platforms like </w:t>
      </w:r>
      <w:hyperlink r:id="rId5" w:history="1">
        <w:r w:rsidRPr="006E64EE">
          <w:rPr>
            <w:rStyle w:val="Hyperlink"/>
            <w:rFonts w:ascii="Calibri" w:hAnsi="Calibri" w:cs="Calibri"/>
            <w:sz w:val="22"/>
            <w:szCs w:val="22"/>
          </w:rPr>
          <w:t>XE.com</w:t>
        </w:r>
      </w:hyperlink>
      <w:r w:rsidRPr="006E64EE">
        <w:rPr>
          <w:rFonts w:ascii="Calibri" w:hAnsi="Calibri" w:cs="Calibri"/>
          <w:sz w:val="22"/>
          <w:szCs w:val="22"/>
        </w:rPr>
        <w:t xml:space="preserve">, </w:t>
      </w:r>
      <w:hyperlink r:id="rId6" w:history="1">
        <w:r w:rsidRPr="006E64EE">
          <w:rPr>
            <w:rStyle w:val="Hyperlink"/>
            <w:rFonts w:ascii="Calibri" w:hAnsi="Calibri" w:cs="Calibri"/>
            <w:sz w:val="22"/>
            <w:szCs w:val="22"/>
          </w:rPr>
          <w:t>OANDA</w:t>
        </w:r>
      </w:hyperlink>
      <w:r w:rsidRPr="006E64EE">
        <w:rPr>
          <w:rFonts w:ascii="Calibri" w:hAnsi="Calibri" w:cs="Calibri"/>
          <w:sz w:val="22"/>
          <w:szCs w:val="22"/>
        </w:rPr>
        <w:t xml:space="preserve">, and </w:t>
      </w:r>
      <w:hyperlink r:id="rId7" w:history="1">
        <w:r w:rsidRPr="006E64EE">
          <w:rPr>
            <w:rStyle w:val="Hyperlink"/>
            <w:rFonts w:ascii="Calibri" w:hAnsi="Calibri" w:cs="Calibri"/>
            <w:sz w:val="22"/>
            <w:szCs w:val="22"/>
          </w:rPr>
          <w:t>Google Currency Converter</w:t>
        </w:r>
      </w:hyperlink>
      <w:r w:rsidRPr="006E64EE">
        <w:rPr>
          <w:rFonts w:ascii="Calibri" w:hAnsi="Calibri" w:cs="Calibri"/>
          <w:sz w:val="22"/>
          <w:szCs w:val="22"/>
        </w:rPr>
        <w:t xml:space="preserve"> provide real-time exchange rates and currency conversion tools for businesses to calculate currency conversions accurately.</w:t>
      </w:r>
    </w:p>
    <w:p w14:paraId="252BD239" w14:textId="0777782F"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International Payment Platforms:</w:t>
      </w:r>
      <w:r w:rsidRPr="006E64EE">
        <w:rPr>
          <w:rFonts w:ascii="Calibri" w:hAnsi="Calibri" w:cs="Calibri"/>
          <w:sz w:val="22"/>
          <w:szCs w:val="22"/>
        </w:rPr>
        <w:t xml:space="preserve"> </w:t>
      </w:r>
      <w:r w:rsidRPr="006E64EE">
        <w:rPr>
          <w:rFonts w:ascii="Calibri" w:hAnsi="Calibri" w:cs="Calibri"/>
          <w:sz w:val="22"/>
          <w:szCs w:val="22"/>
        </w:rPr>
        <w:t xml:space="preserve">Services like </w:t>
      </w:r>
      <w:hyperlink r:id="rId8" w:history="1">
        <w:r w:rsidRPr="006E64EE">
          <w:rPr>
            <w:rStyle w:val="Hyperlink"/>
            <w:rFonts w:ascii="Calibri" w:hAnsi="Calibri" w:cs="Calibri"/>
            <w:sz w:val="22"/>
            <w:szCs w:val="22"/>
          </w:rPr>
          <w:t>PayPal</w:t>
        </w:r>
      </w:hyperlink>
      <w:r w:rsidRPr="006E64EE">
        <w:rPr>
          <w:rFonts w:ascii="Calibri" w:hAnsi="Calibri" w:cs="Calibri"/>
          <w:sz w:val="22"/>
          <w:szCs w:val="22"/>
        </w:rPr>
        <w:t xml:space="preserve">, </w:t>
      </w:r>
      <w:hyperlink r:id="rId9" w:history="1">
        <w:r w:rsidRPr="006E64EE">
          <w:rPr>
            <w:rStyle w:val="Hyperlink"/>
            <w:rFonts w:ascii="Calibri" w:hAnsi="Calibri" w:cs="Calibri"/>
            <w:sz w:val="22"/>
            <w:szCs w:val="22"/>
          </w:rPr>
          <w:t>Wise</w:t>
        </w:r>
      </w:hyperlink>
      <w:r w:rsidRPr="006E64EE">
        <w:rPr>
          <w:rFonts w:ascii="Calibri" w:hAnsi="Calibri" w:cs="Calibri"/>
          <w:sz w:val="22"/>
          <w:szCs w:val="22"/>
        </w:rPr>
        <w:t xml:space="preserve">, and </w:t>
      </w:r>
      <w:hyperlink r:id="rId10" w:history="1">
        <w:proofErr w:type="spellStart"/>
        <w:r w:rsidRPr="006E64EE">
          <w:rPr>
            <w:rStyle w:val="Hyperlink"/>
            <w:rFonts w:ascii="Calibri" w:hAnsi="Calibri" w:cs="Calibri"/>
            <w:sz w:val="22"/>
            <w:szCs w:val="22"/>
          </w:rPr>
          <w:t>Payoneer</w:t>
        </w:r>
        <w:proofErr w:type="spellEnd"/>
      </w:hyperlink>
      <w:r w:rsidRPr="006E64EE">
        <w:rPr>
          <w:rFonts w:ascii="Calibri" w:hAnsi="Calibri" w:cs="Calibri"/>
          <w:sz w:val="22"/>
          <w:szCs w:val="22"/>
        </w:rPr>
        <w:t xml:space="preserve"> offer secure and efficient methods for sending and receiving international payments, with options for multiple currencies and low transaction fees.</w:t>
      </w:r>
    </w:p>
    <w:p w14:paraId="55454D23" w14:textId="0EAA20E7"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Foreign Exchange (Forex) Trading Platforms:</w:t>
      </w:r>
      <w:r w:rsidRPr="006E64EE">
        <w:rPr>
          <w:rFonts w:ascii="Calibri" w:hAnsi="Calibri" w:cs="Calibri"/>
          <w:sz w:val="22"/>
          <w:szCs w:val="22"/>
        </w:rPr>
        <w:t xml:space="preserve"> </w:t>
      </w:r>
      <w:r w:rsidRPr="006E64EE">
        <w:rPr>
          <w:rFonts w:ascii="Calibri" w:hAnsi="Calibri" w:cs="Calibri"/>
          <w:sz w:val="22"/>
          <w:szCs w:val="22"/>
        </w:rPr>
        <w:t xml:space="preserve">Forex trading platforms such as </w:t>
      </w:r>
      <w:hyperlink r:id="rId11" w:history="1">
        <w:proofErr w:type="spellStart"/>
        <w:r w:rsidRPr="006E64EE">
          <w:rPr>
            <w:rStyle w:val="Hyperlink"/>
            <w:rFonts w:ascii="Calibri" w:hAnsi="Calibri" w:cs="Calibri"/>
            <w:sz w:val="22"/>
            <w:szCs w:val="22"/>
          </w:rPr>
          <w:t>MetaTrader</w:t>
        </w:r>
        <w:proofErr w:type="spellEnd"/>
        <w:r w:rsidRPr="006E64EE">
          <w:rPr>
            <w:rStyle w:val="Hyperlink"/>
            <w:rFonts w:ascii="Calibri" w:hAnsi="Calibri" w:cs="Calibri"/>
            <w:sz w:val="22"/>
            <w:szCs w:val="22"/>
          </w:rPr>
          <w:t xml:space="preserve"> 4</w:t>
        </w:r>
      </w:hyperlink>
      <w:r w:rsidRPr="006E64EE">
        <w:rPr>
          <w:rFonts w:ascii="Calibri" w:hAnsi="Calibri" w:cs="Calibri"/>
          <w:sz w:val="22"/>
          <w:szCs w:val="22"/>
        </w:rPr>
        <w:t xml:space="preserve"> (MT4), </w:t>
      </w:r>
      <w:hyperlink r:id="rId12" w:history="1">
        <w:proofErr w:type="spellStart"/>
        <w:r w:rsidRPr="006E64EE">
          <w:rPr>
            <w:rStyle w:val="Hyperlink"/>
            <w:rFonts w:ascii="Calibri" w:hAnsi="Calibri" w:cs="Calibri"/>
            <w:sz w:val="22"/>
            <w:szCs w:val="22"/>
          </w:rPr>
          <w:t>MetaTrader</w:t>
        </w:r>
        <w:proofErr w:type="spellEnd"/>
        <w:r w:rsidRPr="006E64EE">
          <w:rPr>
            <w:rStyle w:val="Hyperlink"/>
            <w:rFonts w:ascii="Calibri" w:hAnsi="Calibri" w:cs="Calibri"/>
            <w:sz w:val="22"/>
            <w:szCs w:val="22"/>
          </w:rPr>
          <w:t xml:space="preserve"> 5</w:t>
        </w:r>
      </w:hyperlink>
      <w:r w:rsidRPr="006E64EE">
        <w:rPr>
          <w:rFonts w:ascii="Calibri" w:hAnsi="Calibri" w:cs="Calibri"/>
          <w:sz w:val="22"/>
          <w:szCs w:val="22"/>
        </w:rPr>
        <w:t xml:space="preserve"> (MT5), and </w:t>
      </w:r>
      <w:hyperlink r:id="rId13" w:history="1">
        <w:r w:rsidRPr="006E64EE">
          <w:rPr>
            <w:rStyle w:val="Hyperlink"/>
            <w:rFonts w:ascii="Calibri" w:hAnsi="Calibri" w:cs="Calibri"/>
            <w:sz w:val="22"/>
            <w:szCs w:val="22"/>
          </w:rPr>
          <w:t>Interactive Brokers</w:t>
        </w:r>
      </w:hyperlink>
      <w:r w:rsidRPr="006E64EE">
        <w:rPr>
          <w:rFonts w:ascii="Calibri" w:hAnsi="Calibri" w:cs="Calibri"/>
          <w:sz w:val="22"/>
          <w:szCs w:val="22"/>
        </w:rPr>
        <w:t xml:space="preserve"> provide access to global currency markets for businesses to hedge currency risks and execute foreign exchange transactions.</w:t>
      </w:r>
    </w:p>
    <w:p w14:paraId="2F5C53B6" w14:textId="00122F85"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Multi-Currency Bank Accounts:</w:t>
      </w:r>
      <w:r w:rsidRPr="006E64EE">
        <w:rPr>
          <w:rFonts w:ascii="Calibri" w:hAnsi="Calibri" w:cs="Calibri"/>
          <w:sz w:val="22"/>
          <w:szCs w:val="22"/>
        </w:rPr>
        <w:t xml:space="preserve"> </w:t>
      </w:r>
      <w:r w:rsidRPr="006E64EE">
        <w:rPr>
          <w:rFonts w:ascii="Calibri" w:hAnsi="Calibri" w:cs="Calibri"/>
          <w:sz w:val="22"/>
          <w:szCs w:val="22"/>
        </w:rPr>
        <w:t>Banks and financial institutions offer multi-currency accounts that allow businesses to hold and manage funds in different currencies, facilitating international transactions and minimizing currency conversion costs.</w:t>
      </w:r>
    </w:p>
    <w:p w14:paraId="2E4EEE4A" w14:textId="5AD7168E"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International Wire Transfers:</w:t>
      </w:r>
      <w:r w:rsidRPr="006E64EE">
        <w:rPr>
          <w:rFonts w:ascii="Calibri" w:hAnsi="Calibri" w:cs="Calibri"/>
          <w:sz w:val="22"/>
          <w:szCs w:val="22"/>
        </w:rPr>
        <w:t xml:space="preserve"> </w:t>
      </w:r>
      <w:r w:rsidRPr="006E64EE">
        <w:rPr>
          <w:rFonts w:ascii="Calibri" w:hAnsi="Calibri" w:cs="Calibri"/>
          <w:sz w:val="22"/>
          <w:szCs w:val="22"/>
        </w:rPr>
        <w:t>Banks and wire transfer services enable businesses to send and receive international wire transfers in various currencies, providing secure and reliable methods for conducting cross-border transactions.</w:t>
      </w:r>
    </w:p>
    <w:p w14:paraId="2F724F32" w14:textId="115ED510"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Forward Contracts and Options:</w:t>
      </w:r>
      <w:r w:rsidRPr="006E64EE">
        <w:rPr>
          <w:rFonts w:ascii="Calibri" w:hAnsi="Calibri" w:cs="Calibri"/>
          <w:sz w:val="22"/>
          <w:szCs w:val="22"/>
        </w:rPr>
        <w:t xml:space="preserve"> </w:t>
      </w:r>
      <w:r w:rsidRPr="006E64EE">
        <w:rPr>
          <w:rFonts w:ascii="Calibri" w:hAnsi="Calibri" w:cs="Calibri"/>
          <w:sz w:val="22"/>
          <w:szCs w:val="22"/>
        </w:rPr>
        <w:t>Financial derivatives such as forward contracts and options provide businesses with tools to hedge against currency fluctuations and manage foreign exchange risk when engaging in international trade and transactions.</w:t>
      </w:r>
    </w:p>
    <w:p w14:paraId="0D2F300E" w14:textId="412261FC"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Currency Hedging Tools:</w:t>
      </w:r>
      <w:r w:rsidRPr="006E64EE">
        <w:rPr>
          <w:rFonts w:ascii="Calibri" w:hAnsi="Calibri" w:cs="Calibri"/>
          <w:sz w:val="22"/>
          <w:szCs w:val="22"/>
        </w:rPr>
        <w:t xml:space="preserve"> </w:t>
      </w:r>
      <w:r w:rsidRPr="006E64EE">
        <w:rPr>
          <w:rFonts w:ascii="Calibri" w:hAnsi="Calibri" w:cs="Calibri"/>
          <w:sz w:val="22"/>
          <w:szCs w:val="22"/>
        </w:rPr>
        <w:t>Currency hedging instruments like currency futures, options, and swaps help businesses mitigate currency risk by locking in exchange rates for future transactions, thereby reducing exposure to adverse exchange rate movements.</w:t>
      </w:r>
    </w:p>
    <w:p w14:paraId="235B2592" w14:textId="61FAF592"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Blockchain and Cryptocurrency Solutions:</w:t>
      </w:r>
      <w:r w:rsidRPr="006E64EE">
        <w:rPr>
          <w:rFonts w:ascii="Calibri" w:hAnsi="Calibri" w:cs="Calibri"/>
          <w:sz w:val="22"/>
          <w:szCs w:val="22"/>
        </w:rPr>
        <w:t xml:space="preserve"> </w:t>
      </w:r>
      <w:r w:rsidRPr="006E64EE">
        <w:rPr>
          <w:rFonts w:ascii="Calibri" w:hAnsi="Calibri" w:cs="Calibri"/>
          <w:sz w:val="22"/>
          <w:szCs w:val="22"/>
        </w:rPr>
        <w:t>Blockchain-based platforms and cryptocurrencies like Bitcoin and Ethereum offer decentralized and borderless alternatives for international payments and currency exchange, with potential benefits such as lower transaction costs and faster settlement times.</w:t>
      </w:r>
    </w:p>
    <w:p w14:paraId="446BFDE1" w14:textId="1F6D2BBD"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Treasury Management Systems (TMS):</w:t>
      </w:r>
      <w:r w:rsidRPr="006E64EE">
        <w:rPr>
          <w:rFonts w:ascii="Calibri" w:hAnsi="Calibri" w:cs="Calibri"/>
          <w:sz w:val="22"/>
          <w:szCs w:val="22"/>
        </w:rPr>
        <w:t xml:space="preserve"> </w:t>
      </w:r>
      <w:r w:rsidRPr="006E64EE">
        <w:rPr>
          <w:rFonts w:ascii="Calibri" w:hAnsi="Calibri" w:cs="Calibri"/>
          <w:sz w:val="22"/>
          <w:szCs w:val="22"/>
        </w:rPr>
        <w:t>TMS platforms provide comprehensive solutions for managing treasury operations, including cash management, liquidity forecasting, and currency risk management, to optimize financial performance and mitigate risks associated with international transactions.</w:t>
      </w:r>
    </w:p>
    <w:p w14:paraId="191DDD57" w14:textId="6CF962DD"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Automated Payment Solutions:</w:t>
      </w:r>
      <w:r w:rsidRPr="006E64EE">
        <w:rPr>
          <w:rFonts w:ascii="Calibri" w:hAnsi="Calibri" w:cs="Calibri"/>
          <w:sz w:val="22"/>
          <w:szCs w:val="22"/>
        </w:rPr>
        <w:t xml:space="preserve"> </w:t>
      </w:r>
      <w:r w:rsidRPr="006E64EE">
        <w:rPr>
          <w:rFonts w:ascii="Calibri" w:hAnsi="Calibri" w:cs="Calibri"/>
          <w:sz w:val="22"/>
          <w:szCs w:val="22"/>
        </w:rPr>
        <w:t>Automated payment platforms and software solutions streamline international payment processes, automate currency conversion, and provide visibility into payment status and transaction history, enhancing efficiency and control over cross-border payments.</w:t>
      </w:r>
    </w:p>
    <w:p w14:paraId="6C5B2D93" w14:textId="748E7C6C"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Trade Finance Platforms:</w:t>
      </w:r>
      <w:r w:rsidRPr="006E64EE">
        <w:rPr>
          <w:rFonts w:ascii="Calibri" w:hAnsi="Calibri" w:cs="Calibri"/>
          <w:sz w:val="22"/>
          <w:szCs w:val="22"/>
        </w:rPr>
        <w:t xml:space="preserve"> </w:t>
      </w:r>
      <w:r w:rsidRPr="006E64EE">
        <w:rPr>
          <w:rFonts w:ascii="Calibri" w:hAnsi="Calibri" w:cs="Calibri"/>
          <w:sz w:val="22"/>
          <w:szCs w:val="22"/>
        </w:rPr>
        <w:t xml:space="preserve">Trade finance platforms like </w:t>
      </w:r>
      <w:hyperlink r:id="rId14" w:history="1">
        <w:r w:rsidRPr="006E64EE">
          <w:rPr>
            <w:rStyle w:val="Hyperlink"/>
            <w:rFonts w:ascii="Calibri" w:hAnsi="Calibri" w:cs="Calibri"/>
            <w:sz w:val="22"/>
            <w:szCs w:val="22"/>
          </w:rPr>
          <w:t>Bolero</w:t>
        </w:r>
      </w:hyperlink>
      <w:r w:rsidRPr="006E64EE">
        <w:rPr>
          <w:rFonts w:ascii="Calibri" w:hAnsi="Calibri" w:cs="Calibri"/>
          <w:sz w:val="22"/>
          <w:szCs w:val="22"/>
        </w:rPr>
        <w:t xml:space="preserve">, </w:t>
      </w:r>
      <w:hyperlink r:id="rId15" w:history="1">
        <w:r w:rsidRPr="006E64EE">
          <w:rPr>
            <w:rStyle w:val="Hyperlink"/>
            <w:rFonts w:ascii="Calibri" w:hAnsi="Calibri" w:cs="Calibri"/>
            <w:sz w:val="22"/>
            <w:szCs w:val="22"/>
          </w:rPr>
          <w:t>Finastra</w:t>
        </w:r>
      </w:hyperlink>
      <w:r w:rsidRPr="006E64EE">
        <w:rPr>
          <w:rFonts w:ascii="Calibri" w:hAnsi="Calibri" w:cs="Calibri"/>
          <w:sz w:val="22"/>
          <w:szCs w:val="22"/>
        </w:rPr>
        <w:t xml:space="preserve">, and </w:t>
      </w:r>
      <w:hyperlink r:id="rId16" w:history="1">
        <w:r w:rsidRPr="006E64EE">
          <w:rPr>
            <w:rStyle w:val="Hyperlink"/>
            <w:rFonts w:ascii="Calibri" w:hAnsi="Calibri" w:cs="Calibri"/>
            <w:sz w:val="22"/>
            <w:szCs w:val="22"/>
          </w:rPr>
          <w:t>Marco Polo</w:t>
        </w:r>
      </w:hyperlink>
      <w:r w:rsidRPr="006E64EE">
        <w:rPr>
          <w:rFonts w:ascii="Calibri" w:hAnsi="Calibri" w:cs="Calibri"/>
          <w:sz w:val="22"/>
          <w:szCs w:val="22"/>
        </w:rPr>
        <w:t xml:space="preserve"> offer digital solutions for trade finance and supply chain finance, facilitating international trade transactions, financing, and risk mitigation for businesses involved in global trade.</w:t>
      </w:r>
    </w:p>
    <w:p w14:paraId="1FEDB51C" w14:textId="72FD83AA"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Regulatory Compliance Tools:</w:t>
      </w:r>
      <w:r w:rsidR="006E64EE" w:rsidRPr="006E64EE">
        <w:rPr>
          <w:rFonts w:ascii="Calibri" w:hAnsi="Calibri" w:cs="Calibri"/>
          <w:sz w:val="22"/>
          <w:szCs w:val="22"/>
        </w:rPr>
        <w:t xml:space="preserve"> </w:t>
      </w:r>
      <w:r w:rsidRPr="006E64EE">
        <w:rPr>
          <w:rFonts w:ascii="Calibri" w:hAnsi="Calibri" w:cs="Calibri"/>
          <w:sz w:val="22"/>
          <w:szCs w:val="22"/>
        </w:rPr>
        <w:t xml:space="preserve">Compliance software and services assist businesses in navigating complex regulatory requirements and compliance obligations related to international </w:t>
      </w:r>
      <w:r w:rsidRPr="006E64EE">
        <w:rPr>
          <w:rFonts w:ascii="Calibri" w:hAnsi="Calibri" w:cs="Calibri"/>
          <w:sz w:val="22"/>
          <w:szCs w:val="22"/>
        </w:rPr>
        <w:lastRenderedPageBreak/>
        <w:t>transactions, ensuring adherence to anti-money laundering (AML), know your customer (KYC), and sanctions regulations.</w:t>
      </w:r>
    </w:p>
    <w:p w14:paraId="1181BDD4" w14:textId="600F5A28" w:rsidR="00AF4485"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Financial Market Data Providers:</w:t>
      </w:r>
      <w:r w:rsidR="006E64EE" w:rsidRPr="006E64EE">
        <w:rPr>
          <w:rFonts w:ascii="Calibri" w:hAnsi="Calibri" w:cs="Calibri"/>
          <w:sz w:val="22"/>
          <w:szCs w:val="22"/>
        </w:rPr>
        <w:t xml:space="preserve"> </w:t>
      </w:r>
      <w:r w:rsidRPr="006E64EE">
        <w:rPr>
          <w:rFonts w:ascii="Calibri" w:hAnsi="Calibri" w:cs="Calibri"/>
          <w:sz w:val="22"/>
          <w:szCs w:val="22"/>
        </w:rPr>
        <w:t xml:space="preserve">Financial market data providers such as </w:t>
      </w:r>
      <w:hyperlink r:id="rId17" w:history="1">
        <w:r w:rsidRPr="006E64EE">
          <w:rPr>
            <w:rStyle w:val="Hyperlink"/>
            <w:rFonts w:ascii="Calibri" w:hAnsi="Calibri" w:cs="Calibri"/>
            <w:sz w:val="22"/>
            <w:szCs w:val="22"/>
          </w:rPr>
          <w:t>Bloomberg</w:t>
        </w:r>
      </w:hyperlink>
      <w:r w:rsidRPr="006E64EE">
        <w:rPr>
          <w:rFonts w:ascii="Calibri" w:hAnsi="Calibri" w:cs="Calibri"/>
          <w:sz w:val="22"/>
          <w:szCs w:val="22"/>
        </w:rPr>
        <w:t xml:space="preserve">, </w:t>
      </w:r>
      <w:hyperlink r:id="rId18" w:history="1">
        <w:r w:rsidRPr="006E64EE">
          <w:rPr>
            <w:rStyle w:val="Hyperlink"/>
            <w:rFonts w:ascii="Calibri" w:hAnsi="Calibri" w:cs="Calibri"/>
            <w:sz w:val="22"/>
            <w:szCs w:val="22"/>
          </w:rPr>
          <w:t>Reuters</w:t>
        </w:r>
      </w:hyperlink>
      <w:r w:rsidRPr="006E64EE">
        <w:rPr>
          <w:rFonts w:ascii="Calibri" w:hAnsi="Calibri" w:cs="Calibri"/>
          <w:sz w:val="22"/>
          <w:szCs w:val="22"/>
        </w:rPr>
        <w:t xml:space="preserve">, and </w:t>
      </w:r>
      <w:hyperlink r:id="rId19" w:history="1">
        <w:r w:rsidRPr="006E64EE">
          <w:rPr>
            <w:rStyle w:val="Hyperlink"/>
            <w:rFonts w:ascii="Calibri" w:hAnsi="Calibri" w:cs="Calibri"/>
            <w:sz w:val="22"/>
            <w:szCs w:val="22"/>
          </w:rPr>
          <w:t>Refinitiv</w:t>
        </w:r>
      </w:hyperlink>
      <w:r w:rsidRPr="006E64EE">
        <w:rPr>
          <w:rFonts w:ascii="Calibri" w:hAnsi="Calibri" w:cs="Calibri"/>
          <w:sz w:val="22"/>
          <w:szCs w:val="22"/>
        </w:rPr>
        <w:t xml:space="preserve"> offer comprehensive market intelligence, news, and analysis on currency markets, economic indicators, and geopolitical developments, empowering businesses to make informed decisions in managing currency exchange and international transactions.</w:t>
      </w:r>
    </w:p>
    <w:p w14:paraId="1B3B7F95" w14:textId="25DC20AB" w:rsidR="00BD4BD9" w:rsidRPr="006E64EE" w:rsidRDefault="00AF4485" w:rsidP="006E64EE">
      <w:pPr>
        <w:pStyle w:val="ListParagraph"/>
        <w:numPr>
          <w:ilvl w:val="0"/>
          <w:numId w:val="1"/>
        </w:numPr>
        <w:rPr>
          <w:rFonts w:ascii="Calibri" w:hAnsi="Calibri" w:cs="Calibri"/>
          <w:sz w:val="22"/>
          <w:szCs w:val="22"/>
        </w:rPr>
      </w:pPr>
      <w:r w:rsidRPr="006E64EE">
        <w:rPr>
          <w:rFonts w:ascii="Calibri" w:hAnsi="Calibri" w:cs="Calibri"/>
          <w:sz w:val="22"/>
          <w:szCs w:val="22"/>
        </w:rPr>
        <w:t>Payment Gateways and APIs:</w:t>
      </w:r>
      <w:r w:rsidR="006E64EE" w:rsidRPr="006E64EE">
        <w:rPr>
          <w:rFonts w:ascii="Calibri" w:hAnsi="Calibri" w:cs="Calibri"/>
          <w:sz w:val="22"/>
          <w:szCs w:val="22"/>
        </w:rPr>
        <w:t xml:space="preserve"> </w:t>
      </w:r>
      <w:r w:rsidRPr="006E64EE">
        <w:rPr>
          <w:rFonts w:ascii="Calibri" w:hAnsi="Calibri" w:cs="Calibri"/>
          <w:sz w:val="22"/>
          <w:szCs w:val="22"/>
        </w:rPr>
        <w:t>Payment gateways and application programming interfaces (APIs) enable businesses to integrate payment processing capabilities into their websites, e-commerce platforms, and mobile applications, facilitating seamless international transactions for customers and clients.</w:t>
      </w:r>
    </w:p>
    <w:sectPr w:rsidR="00BD4BD9" w:rsidRPr="006E6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D700D5"/>
    <w:multiLevelType w:val="hybridMultilevel"/>
    <w:tmpl w:val="1B284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1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5"/>
    <w:rsid w:val="006E64EE"/>
    <w:rsid w:val="00AF4485"/>
    <w:rsid w:val="00B175BC"/>
    <w:rsid w:val="00B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AD3F"/>
  <w15:chartTrackingRefBased/>
  <w15:docId w15:val="{E4509992-B140-4929-B367-8C8342DA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5"/>
    <w:rPr>
      <w:rFonts w:eastAsiaTheme="majorEastAsia" w:cstheme="majorBidi"/>
      <w:color w:val="272727" w:themeColor="text1" w:themeTint="D8"/>
    </w:rPr>
  </w:style>
  <w:style w:type="paragraph" w:styleId="Title">
    <w:name w:val="Title"/>
    <w:basedOn w:val="Normal"/>
    <w:next w:val="Normal"/>
    <w:link w:val="TitleChar"/>
    <w:uiPriority w:val="10"/>
    <w:qFormat/>
    <w:rsid w:val="00AF4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5"/>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5"/>
    <w:rPr>
      <w:i/>
      <w:iCs/>
      <w:color w:val="404040" w:themeColor="text1" w:themeTint="BF"/>
    </w:rPr>
  </w:style>
  <w:style w:type="paragraph" w:styleId="ListParagraph">
    <w:name w:val="List Paragraph"/>
    <w:basedOn w:val="Normal"/>
    <w:uiPriority w:val="34"/>
    <w:qFormat/>
    <w:rsid w:val="00AF4485"/>
    <w:pPr>
      <w:ind w:left="720"/>
      <w:contextualSpacing/>
    </w:pPr>
  </w:style>
  <w:style w:type="character" w:styleId="IntenseEmphasis">
    <w:name w:val="Intense Emphasis"/>
    <w:basedOn w:val="DefaultParagraphFont"/>
    <w:uiPriority w:val="21"/>
    <w:qFormat/>
    <w:rsid w:val="00AF4485"/>
    <w:rPr>
      <w:i/>
      <w:iCs/>
      <w:color w:val="0F4761" w:themeColor="accent1" w:themeShade="BF"/>
    </w:rPr>
  </w:style>
  <w:style w:type="paragraph" w:styleId="IntenseQuote">
    <w:name w:val="Intense Quote"/>
    <w:basedOn w:val="Normal"/>
    <w:next w:val="Normal"/>
    <w:link w:val="IntenseQuoteChar"/>
    <w:uiPriority w:val="30"/>
    <w:qFormat/>
    <w:rsid w:val="00AF4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5"/>
    <w:rPr>
      <w:i/>
      <w:iCs/>
      <w:color w:val="0F4761" w:themeColor="accent1" w:themeShade="BF"/>
    </w:rPr>
  </w:style>
  <w:style w:type="character" w:styleId="IntenseReference">
    <w:name w:val="Intense Reference"/>
    <w:basedOn w:val="DefaultParagraphFont"/>
    <w:uiPriority w:val="32"/>
    <w:qFormat/>
    <w:rsid w:val="00AF4485"/>
    <w:rPr>
      <w:b/>
      <w:bCs/>
      <w:smallCaps/>
      <w:color w:val="0F4761" w:themeColor="accent1" w:themeShade="BF"/>
      <w:spacing w:val="5"/>
    </w:rPr>
  </w:style>
  <w:style w:type="character" w:styleId="Hyperlink">
    <w:name w:val="Hyperlink"/>
    <w:basedOn w:val="DefaultParagraphFont"/>
    <w:uiPriority w:val="99"/>
    <w:unhideWhenUsed/>
    <w:rsid w:val="00AF4485"/>
    <w:rPr>
      <w:color w:val="467886" w:themeColor="hyperlink"/>
      <w:u w:val="single"/>
    </w:rPr>
  </w:style>
  <w:style w:type="character" w:styleId="UnresolvedMention">
    <w:name w:val="Unresolved Mention"/>
    <w:basedOn w:val="DefaultParagraphFont"/>
    <w:uiPriority w:val="99"/>
    <w:semiHidden/>
    <w:unhideWhenUsed/>
    <w:rsid w:val="00AF4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 TargetMode="External"/><Relationship Id="rId13" Type="http://schemas.openxmlformats.org/officeDocument/2006/relationships/hyperlink" Target="https://www.interactivebrokers.com/" TargetMode="External"/><Relationship Id="rId18" Type="http://schemas.openxmlformats.org/officeDocument/2006/relationships/hyperlink" Target="https://www.reuters.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gle.com/search?q=google+currency+converter" TargetMode="External"/><Relationship Id="rId12" Type="http://schemas.openxmlformats.org/officeDocument/2006/relationships/hyperlink" Target="https://www.metatrader5.com/en" TargetMode="External"/><Relationship Id="rId17" Type="http://schemas.openxmlformats.org/officeDocument/2006/relationships/hyperlink" Target="https://www.bloomberg.com/" TargetMode="External"/><Relationship Id="rId2" Type="http://schemas.openxmlformats.org/officeDocument/2006/relationships/styles" Target="styles.xml"/><Relationship Id="rId16" Type="http://schemas.openxmlformats.org/officeDocument/2006/relationships/hyperlink" Target="https://www.marcopolonetwor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anda.com/" TargetMode="External"/><Relationship Id="rId11" Type="http://schemas.openxmlformats.org/officeDocument/2006/relationships/hyperlink" Target="https://www.metatrader4.com/en" TargetMode="External"/><Relationship Id="rId5" Type="http://schemas.openxmlformats.org/officeDocument/2006/relationships/hyperlink" Target="https://www.xe.com/" TargetMode="External"/><Relationship Id="rId15" Type="http://schemas.openxmlformats.org/officeDocument/2006/relationships/hyperlink" Target="https://www.finastra.com/" TargetMode="External"/><Relationship Id="rId10" Type="http://schemas.openxmlformats.org/officeDocument/2006/relationships/hyperlink" Target="https://www.payoneer.com/" TargetMode="External"/><Relationship Id="rId19" Type="http://schemas.openxmlformats.org/officeDocument/2006/relationships/hyperlink" Target="https://my.refinitiv.com/" TargetMode="External"/><Relationship Id="rId4" Type="http://schemas.openxmlformats.org/officeDocument/2006/relationships/webSettings" Target="webSettings.xml"/><Relationship Id="rId9" Type="http://schemas.openxmlformats.org/officeDocument/2006/relationships/hyperlink" Target="https://wise.com/us/" TargetMode="External"/><Relationship Id="rId14" Type="http://schemas.openxmlformats.org/officeDocument/2006/relationships/hyperlink" Target="https://www.boler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2024-05-08T15:41:00Z</dcterms:created>
  <dcterms:modified xsi:type="dcterms:W3CDTF">2024-05-08T15:58:00Z</dcterms:modified>
</cp:coreProperties>
</file>