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7BAD72" w14:textId="77777777" w:rsidR="002B28AB" w:rsidRPr="002B28AB" w:rsidRDefault="002B28AB" w:rsidP="002B28AB">
      <w:pPr>
        <w:rPr>
          <w:rFonts w:ascii="Calibri" w:hAnsi="Calibri" w:cs="Calibri"/>
          <w:b/>
          <w:bCs/>
          <w:sz w:val="22"/>
          <w:szCs w:val="22"/>
        </w:rPr>
      </w:pPr>
      <w:r w:rsidRPr="002B28AB">
        <w:rPr>
          <w:rFonts w:ascii="Calibri" w:hAnsi="Calibri" w:cs="Calibri"/>
          <w:b/>
          <w:bCs/>
          <w:sz w:val="22"/>
          <w:szCs w:val="22"/>
        </w:rPr>
        <w:t>U.S. Employment and Labor Laws</w:t>
      </w:r>
    </w:p>
    <w:p w14:paraId="10B9C496" w14:textId="2412F02E" w:rsidR="002B28AB" w:rsidRPr="002B28AB" w:rsidRDefault="002B28AB" w:rsidP="002B28AB">
      <w:pPr>
        <w:rPr>
          <w:rFonts w:ascii="Calibri" w:hAnsi="Calibri" w:cs="Calibri"/>
          <w:sz w:val="22"/>
          <w:szCs w:val="22"/>
        </w:rPr>
      </w:pPr>
      <w:r>
        <w:rPr>
          <w:rFonts w:ascii="Calibri" w:hAnsi="Calibri" w:cs="Calibri"/>
          <w:sz w:val="22"/>
          <w:szCs w:val="22"/>
        </w:rPr>
        <w:t>Below</w:t>
      </w:r>
      <w:r w:rsidRPr="002B28AB">
        <w:rPr>
          <w:rFonts w:ascii="Calibri" w:hAnsi="Calibri" w:cs="Calibri"/>
          <w:sz w:val="22"/>
          <w:szCs w:val="22"/>
        </w:rPr>
        <w:t xml:space="preserve"> are some of the major federal employment and labor laws in the United States. Additionally, states may have their own laws and regulations governing employment practices, so it's essential for employers to be aware of and comply with both federal and state laws.</w:t>
      </w:r>
    </w:p>
    <w:p w14:paraId="328F8045" w14:textId="21D945F1"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Fair Labor Standards Act (FLSA):</w:t>
      </w:r>
      <w:r w:rsidRPr="002B28AB">
        <w:rPr>
          <w:rFonts w:ascii="Calibri" w:hAnsi="Calibri" w:cs="Calibri"/>
          <w:sz w:val="22"/>
          <w:szCs w:val="22"/>
        </w:rPr>
        <w:t xml:space="preserve"> </w:t>
      </w:r>
      <w:r w:rsidRPr="002B28AB">
        <w:rPr>
          <w:rFonts w:ascii="Calibri" w:hAnsi="Calibri" w:cs="Calibri"/>
          <w:sz w:val="22"/>
          <w:szCs w:val="22"/>
        </w:rPr>
        <w:t>Sets federal minimum wage, overtime pay requirements, child labor standards, and recordkeeping obligations.</w:t>
      </w:r>
    </w:p>
    <w:p w14:paraId="0369B9B0" w14:textId="35ECC373"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Title VII of the Civil Rights Act of 1964:</w:t>
      </w:r>
      <w:r w:rsidRPr="002B28AB">
        <w:rPr>
          <w:rFonts w:ascii="Calibri" w:hAnsi="Calibri" w:cs="Calibri"/>
          <w:sz w:val="22"/>
          <w:szCs w:val="22"/>
        </w:rPr>
        <w:t xml:space="preserve"> </w:t>
      </w:r>
      <w:r w:rsidRPr="002B28AB">
        <w:rPr>
          <w:rFonts w:ascii="Calibri" w:hAnsi="Calibri" w:cs="Calibri"/>
          <w:sz w:val="22"/>
          <w:szCs w:val="22"/>
        </w:rPr>
        <w:t>Prohibits employment discrimination based on race, color, religion, sex, or national origin.</w:t>
      </w:r>
    </w:p>
    <w:p w14:paraId="07789F07" w14:textId="0CF7F078"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Americans with Disabilities Act (ADA):</w:t>
      </w:r>
      <w:r w:rsidRPr="002B28AB">
        <w:rPr>
          <w:rFonts w:ascii="Calibri" w:hAnsi="Calibri" w:cs="Calibri"/>
          <w:sz w:val="22"/>
          <w:szCs w:val="22"/>
        </w:rPr>
        <w:t xml:space="preserve"> </w:t>
      </w:r>
      <w:r w:rsidRPr="002B28AB">
        <w:rPr>
          <w:rFonts w:ascii="Calibri" w:hAnsi="Calibri" w:cs="Calibri"/>
          <w:sz w:val="22"/>
          <w:szCs w:val="22"/>
        </w:rPr>
        <w:t>Prohibits discrimination against individuals with disabilities in employment, public accommodations, transportation, and telecommunications.</w:t>
      </w:r>
    </w:p>
    <w:p w14:paraId="07A99137" w14:textId="4F12FB50"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Age Discrimination in Employment Act (ADEA):</w:t>
      </w:r>
      <w:r w:rsidRPr="002B28AB">
        <w:rPr>
          <w:rFonts w:ascii="Calibri" w:hAnsi="Calibri" w:cs="Calibri"/>
          <w:sz w:val="22"/>
          <w:szCs w:val="22"/>
        </w:rPr>
        <w:t xml:space="preserve"> </w:t>
      </w:r>
      <w:r w:rsidRPr="002B28AB">
        <w:rPr>
          <w:rFonts w:ascii="Calibri" w:hAnsi="Calibri" w:cs="Calibri"/>
          <w:sz w:val="22"/>
          <w:szCs w:val="22"/>
        </w:rPr>
        <w:t>Protects individuals aged 40 and older from age-based discrimination in employment.</w:t>
      </w:r>
    </w:p>
    <w:p w14:paraId="6EB01731" w14:textId="01CA799C"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Family and Medical Leave Act (FMLA):</w:t>
      </w:r>
      <w:r w:rsidRPr="002B28AB">
        <w:rPr>
          <w:rFonts w:ascii="Calibri" w:hAnsi="Calibri" w:cs="Calibri"/>
          <w:sz w:val="22"/>
          <w:szCs w:val="22"/>
        </w:rPr>
        <w:t xml:space="preserve"> </w:t>
      </w:r>
      <w:r w:rsidRPr="002B28AB">
        <w:rPr>
          <w:rFonts w:ascii="Calibri" w:hAnsi="Calibri" w:cs="Calibri"/>
          <w:sz w:val="22"/>
          <w:szCs w:val="22"/>
        </w:rPr>
        <w:t>Provides eligible employees with job-protected leave for certain family and medical reasons, including the birth or adoption of a child and serious health conditions.</w:t>
      </w:r>
    </w:p>
    <w:p w14:paraId="095EF7DF" w14:textId="7D87BC0F"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Equal Pay Act (EPA):</w:t>
      </w:r>
      <w:r w:rsidRPr="002B28AB">
        <w:rPr>
          <w:rFonts w:ascii="Calibri" w:hAnsi="Calibri" w:cs="Calibri"/>
          <w:sz w:val="22"/>
          <w:szCs w:val="22"/>
        </w:rPr>
        <w:t xml:space="preserve"> </w:t>
      </w:r>
      <w:r w:rsidRPr="002B28AB">
        <w:rPr>
          <w:rFonts w:ascii="Calibri" w:hAnsi="Calibri" w:cs="Calibri"/>
          <w:sz w:val="22"/>
          <w:szCs w:val="22"/>
        </w:rPr>
        <w:t>Requires equal pay for equal work performed by men and women in the same establishment.</w:t>
      </w:r>
    </w:p>
    <w:p w14:paraId="152557BD" w14:textId="19FFEE54"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Occupational Safety and Health Act (OSHA):</w:t>
      </w:r>
      <w:r w:rsidRPr="002B28AB">
        <w:rPr>
          <w:rFonts w:ascii="Calibri" w:hAnsi="Calibri" w:cs="Calibri"/>
          <w:sz w:val="22"/>
          <w:szCs w:val="22"/>
        </w:rPr>
        <w:t xml:space="preserve"> </w:t>
      </w:r>
      <w:r w:rsidRPr="002B28AB">
        <w:rPr>
          <w:rFonts w:ascii="Calibri" w:hAnsi="Calibri" w:cs="Calibri"/>
          <w:sz w:val="22"/>
          <w:szCs w:val="22"/>
        </w:rPr>
        <w:t xml:space="preserve">Sets workplace safety and health standards to ensure safe and </w:t>
      </w:r>
      <w:r w:rsidRPr="002B28AB">
        <w:rPr>
          <w:rFonts w:ascii="Calibri" w:hAnsi="Calibri" w:cs="Calibri"/>
          <w:sz w:val="22"/>
          <w:szCs w:val="22"/>
        </w:rPr>
        <w:t>healthy</w:t>
      </w:r>
      <w:r w:rsidRPr="002B28AB">
        <w:rPr>
          <w:rFonts w:ascii="Calibri" w:hAnsi="Calibri" w:cs="Calibri"/>
          <w:sz w:val="22"/>
          <w:szCs w:val="22"/>
        </w:rPr>
        <w:t xml:space="preserve"> working conditions for employees.</w:t>
      </w:r>
    </w:p>
    <w:p w14:paraId="26AE3344" w14:textId="7B559A73"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National Labor Relations Act (NLRA):</w:t>
      </w:r>
      <w:r w:rsidRPr="002B28AB">
        <w:rPr>
          <w:rFonts w:ascii="Calibri" w:hAnsi="Calibri" w:cs="Calibri"/>
          <w:sz w:val="22"/>
          <w:szCs w:val="22"/>
        </w:rPr>
        <w:t xml:space="preserve"> </w:t>
      </w:r>
      <w:r w:rsidRPr="002B28AB">
        <w:rPr>
          <w:rFonts w:ascii="Calibri" w:hAnsi="Calibri" w:cs="Calibri"/>
          <w:sz w:val="22"/>
          <w:szCs w:val="22"/>
        </w:rPr>
        <w:t>Protects the rights of employees to engage in collective bargaining and form or join labor unions.</w:t>
      </w:r>
    </w:p>
    <w:p w14:paraId="6153023E" w14:textId="3B03E641"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Title I of the Americans with Disabilities Act (ADA):</w:t>
      </w:r>
      <w:r w:rsidRPr="002B28AB">
        <w:rPr>
          <w:rFonts w:ascii="Calibri" w:hAnsi="Calibri" w:cs="Calibri"/>
          <w:sz w:val="22"/>
          <w:szCs w:val="22"/>
        </w:rPr>
        <w:t xml:space="preserve"> </w:t>
      </w:r>
      <w:r w:rsidRPr="002B28AB">
        <w:rPr>
          <w:rFonts w:ascii="Calibri" w:hAnsi="Calibri" w:cs="Calibri"/>
          <w:sz w:val="22"/>
          <w:szCs w:val="22"/>
        </w:rPr>
        <w:t xml:space="preserve">Requires employers to provide reasonable accommodations to qualified individuals with </w:t>
      </w:r>
      <w:r w:rsidRPr="002B28AB">
        <w:rPr>
          <w:rFonts w:ascii="Calibri" w:hAnsi="Calibri" w:cs="Calibri"/>
          <w:sz w:val="22"/>
          <w:szCs w:val="22"/>
        </w:rPr>
        <w:t>disabilities unless</w:t>
      </w:r>
      <w:r w:rsidRPr="002B28AB">
        <w:rPr>
          <w:rFonts w:ascii="Calibri" w:hAnsi="Calibri" w:cs="Calibri"/>
          <w:sz w:val="22"/>
          <w:szCs w:val="22"/>
        </w:rPr>
        <w:t xml:space="preserve"> it imposes an undue hardship.</w:t>
      </w:r>
    </w:p>
    <w:p w14:paraId="6CA8A181" w14:textId="05F46944"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Uniformed Services Employment and Reemployment Rights Act (USERRA):</w:t>
      </w:r>
      <w:r w:rsidRPr="002B28AB">
        <w:rPr>
          <w:rFonts w:ascii="Calibri" w:hAnsi="Calibri" w:cs="Calibri"/>
          <w:sz w:val="22"/>
          <w:szCs w:val="22"/>
        </w:rPr>
        <w:t xml:space="preserve"> </w:t>
      </w:r>
      <w:r w:rsidRPr="002B28AB">
        <w:rPr>
          <w:rFonts w:ascii="Calibri" w:hAnsi="Calibri" w:cs="Calibri"/>
          <w:sz w:val="22"/>
          <w:szCs w:val="22"/>
        </w:rPr>
        <w:t>Protects the employment rights of military service members and veterans, including reemployment rights and non-discrimination provisions.</w:t>
      </w:r>
    </w:p>
    <w:p w14:paraId="30F4A4D2" w14:textId="4EF84C40"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Worker Adjustment and Retraining Notification Act (WARN):</w:t>
      </w:r>
      <w:r w:rsidRPr="002B28AB">
        <w:rPr>
          <w:rFonts w:ascii="Calibri" w:hAnsi="Calibri" w:cs="Calibri"/>
          <w:sz w:val="22"/>
          <w:szCs w:val="22"/>
        </w:rPr>
        <w:t xml:space="preserve"> </w:t>
      </w:r>
      <w:r w:rsidRPr="002B28AB">
        <w:rPr>
          <w:rFonts w:ascii="Calibri" w:hAnsi="Calibri" w:cs="Calibri"/>
          <w:sz w:val="22"/>
          <w:szCs w:val="22"/>
        </w:rPr>
        <w:t>Requires certain employers to provide advance notice of plant closures or mass layoffs to affected employees and government agencies.</w:t>
      </w:r>
    </w:p>
    <w:p w14:paraId="75278CB0" w14:textId="4E770139"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Immigration Reform and Control Act (IRCA):</w:t>
      </w:r>
      <w:r w:rsidRPr="002B28AB">
        <w:rPr>
          <w:rFonts w:ascii="Calibri" w:hAnsi="Calibri" w:cs="Calibri"/>
          <w:sz w:val="22"/>
          <w:szCs w:val="22"/>
        </w:rPr>
        <w:t xml:space="preserve"> </w:t>
      </w:r>
      <w:r w:rsidRPr="002B28AB">
        <w:rPr>
          <w:rFonts w:ascii="Calibri" w:hAnsi="Calibri" w:cs="Calibri"/>
          <w:sz w:val="22"/>
          <w:szCs w:val="22"/>
        </w:rPr>
        <w:t>Requires employers to verify the identity and employment eligibility of their employees and prohibits employment of unauthorized workers.</w:t>
      </w:r>
    </w:p>
    <w:p w14:paraId="6FD007DD" w14:textId="544DD0A5"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Employment Retirement Income Security Act (ERISA):</w:t>
      </w:r>
      <w:r w:rsidRPr="002B28AB">
        <w:rPr>
          <w:rFonts w:ascii="Calibri" w:hAnsi="Calibri" w:cs="Calibri"/>
          <w:sz w:val="22"/>
          <w:szCs w:val="22"/>
        </w:rPr>
        <w:t xml:space="preserve"> </w:t>
      </w:r>
      <w:r w:rsidRPr="002B28AB">
        <w:rPr>
          <w:rFonts w:ascii="Calibri" w:hAnsi="Calibri" w:cs="Calibri"/>
          <w:sz w:val="22"/>
          <w:szCs w:val="22"/>
        </w:rPr>
        <w:t>Sets standards for employee benefit plans, including pension plans, health insurance, and other welfare benefit plans.</w:t>
      </w:r>
    </w:p>
    <w:p w14:paraId="6AC99E42" w14:textId="5EB3282E"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Genetic Information Nondiscrimination Act (GINA):</w:t>
      </w:r>
      <w:r w:rsidRPr="002B28AB">
        <w:rPr>
          <w:rFonts w:ascii="Calibri" w:hAnsi="Calibri" w:cs="Calibri"/>
          <w:sz w:val="22"/>
          <w:szCs w:val="22"/>
        </w:rPr>
        <w:t xml:space="preserve"> </w:t>
      </w:r>
      <w:r w:rsidRPr="002B28AB">
        <w:rPr>
          <w:rFonts w:ascii="Calibri" w:hAnsi="Calibri" w:cs="Calibri"/>
          <w:sz w:val="22"/>
          <w:szCs w:val="22"/>
        </w:rPr>
        <w:t>Prohibits employment discrimination based on genetic information and restricts employers from requesting or using genetic information in employment decisions.</w:t>
      </w:r>
    </w:p>
    <w:p w14:paraId="6866E41D" w14:textId="5A9F93C2"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Consolidated Omnibus Budget Reconciliation Act (COBRA):</w:t>
      </w:r>
      <w:r w:rsidRPr="002B28AB">
        <w:rPr>
          <w:rFonts w:ascii="Calibri" w:hAnsi="Calibri" w:cs="Calibri"/>
          <w:sz w:val="22"/>
          <w:szCs w:val="22"/>
        </w:rPr>
        <w:t xml:space="preserve"> </w:t>
      </w:r>
      <w:r w:rsidRPr="002B28AB">
        <w:rPr>
          <w:rFonts w:ascii="Calibri" w:hAnsi="Calibri" w:cs="Calibri"/>
          <w:sz w:val="22"/>
          <w:szCs w:val="22"/>
        </w:rPr>
        <w:t>Provides continuation coverage of group health benefits to eligible employees and their dependents after certain qualifying events, such as termination of employment.</w:t>
      </w:r>
    </w:p>
    <w:p w14:paraId="0C10DDF3" w14:textId="590A1B1E"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lastRenderedPageBreak/>
        <w:t>Pregnancy Discrimination Act (PDA):</w:t>
      </w:r>
      <w:r w:rsidRPr="002B28AB">
        <w:rPr>
          <w:rFonts w:ascii="Calibri" w:hAnsi="Calibri" w:cs="Calibri"/>
          <w:sz w:val="22"/>
          <w:szCs w:val="22"/>
        </w:rPr>
        <w:t xml:space="preserve"> </w:t>
      </w:r>
      <w:r w:rsidRPr="002B28AB">
        <w:rPr>
          <w:rFonts w:ascii="Calibri" w:hAnsi="Calibri" w:cs="Calibri"/>
          <w:sz w:val="22"/>
          <w:szCs w:val="22"/>
        </w:rPr>
        <w:t xml:space="preserve">Prohibits discrimination </w:t>
      </w:r>
      <w:proofErr w:type="gramStart"/>
      <w:r w:rsidRPr="002B28AB">
        <w:rPr>
          <w:rFonts w:ascii="Calibri" w:hAnsi="Calibri" w:cs="Calibri"/>
          <w:sz w:val="22"/>
          <w:szCs w:val="22"/>
        </w:rPr>
        <w:t>on the basis of</w:t>
      </w:r>
      <w:proofErr w:type="gramEnd"/>
      <w:r w:rsidRPr="002B28AB">
        <w:rPr>
          <w:rFonts w:ascii="Calibri" w:hAnsi="Calibri" w:cs="Calibri"/>
          <w:sz w:val="22"/>
          <w:szCs w:val="22"/>
        </w:rPr>
        <w:t xml:space="preserve"> pregnancy, childbirth, or related medical conditions in employment.</w:t>
      </w:r>
    </w:p>
    <w:p w14:paraId="191704DC" w14:textId="0AD107E4"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Worker Classification Laws (e.g., Fair Labor Standards Act):</w:t>
      </w:r>
      <w:r w:rsidRPr="002B28AB">
        <w:rPr>
          <w:rFonts w:ascii="Calibri" w:hAnsi="Calibri" w:cs="Calibri"/>
          <w:sz w:val="22"/>
          <w:szCs w:val="22"/>
        </w:rPr>
        <w:t xml:space="preserve"> </w:t>
      </w:r>
      <w:r w:rsidRPr="002B28AB">
        <w:rPr>
          <w:rFonts w:ascii="Calibri" w:hAnsi="Calibri" w:cs="Calibri"/>
          <w:sz w:val="22"/>
          <w:szCs w:val="22"/>
        </w:rPr>
        <w:t>Define the criteria for classifying workers as employees or independent contractors, affecting wage and hour regulations, tax obligations, and benefits eligibility.</w:t>
      </w:r>
    </w:p>
    <w:p w14:paraId="72E13245" w14:textId="7AAA1801"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Employee Polygraph Protection Act (EPPA):</w:t>
      </w:r>
      <w:r w:rsidRPr="002B28AB">
        <w:rPr>
          <w:rFonts w:ascii="Calibri" w:hAnsi="Calibri" w:cs="Calibri"/>
          <w:sz w:val="22"/>
          <w:szCs w:val="22"/>
        </w:rPr>
        <w:t xml:space="preserve"> </w:t>
      </w:r>
      <w:r w:rsidRPr="002B28AB">
        <w:rPr>
          <w:rFonts w:ascii="Calibri" w:hAnsi="Calibri" w:cs="Calibri"/>
          <w:sz w:val="22"/>
          <w:szCs w:val="22"/>
        </w:rPr>
        <w:t>Restricts the use of lie detector tests by private employers in employment decisions.</w:t>
      </w:r>
    </w:p>
    <w:p w14:paraId="2B9ACCCC" w14:textId="2B1A91B9"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Davis-Bacon Act (DBA):</w:t>
      </w:r>
      <w:r w:rsidRPr="002B28AB">
        <w:rPr>
          <w:rFonts w:ascii="Calibri" w:hAnsi="Calibri" w:cs="Calibri"/>
          <w:sz w:val="22"/>
          <w:szCs w:val="22"/>
        </w:rPr>
        <w:t xml:space="preserve"> </w:t>
      </w:r>
      <w:r w:rsidRPr="002B28AB">
        <w:rPr>
          <w:rFonts w:ascii="Calibri" w:hAnsi="Calibri" w:cs="Calibri"/>
          <w:sz w:val="22"/>
          <w:szCs w:val="22"/>
        </w:rPr>
        <w:t>Requires contractors and subcontractors on federally funded construction projects to pay prevailing wages and benefits to workers.</w:t>
      </w:r>
    </w:p>
    <w:p w14:paraId="24D428E4" w14:textId="1DBB7541"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Walsh-Healey Public Contracts Act (PCA):</w:t>
      </w:r>
      <w:r w:rsidRPr="002B28AB">
        <w:rPr>
          <w:rFonts w:ascii="Calibri" w:hAnsi="Calibri" w:cs="Calibri"/>
          <w:sz w:val="22"/>
          <w:szCs w:val="22"/>
        </w:rPr>
        <w:t xml:space="preserve"> </w:t>
      </w:r>
      <w:r w:rsidRPr="002B28AB">
        <w:rPr>
          <w:rFonts w:ascii="Calibri" w:hAnsi="Calibri" w:cs="Calibri"/>
          <w:sz w:val="22"/>
          <w:szCs w:val="22"/>
        </w:rPr>
        <w:t>Establishes minimum wage, overtime pay, and other labor standards for employees working on federal government contracts.</w:t>
      </w:r>
    </w:p>
    <w:p w14:paraId="57A3E82D" w14:textId="547B1541"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Sarbanes-Oxley Act (SOX):</w:t>
      </w:r>
      <w:r w:rsidRPr="002B28AB">
        <w:rPr>
          <w:rFonts w:ascii="Calibri" w:hAnsi="Calibri" w:cs="Calibri"/>
          <w:sz w:val="22"/>
          <w:szCs w:val="22"/>
        </w:rPr>
        <w:t xml:space="preserve"> </w:t>
      </w:r>
      <w:r w:rsidRPr="002B28AB">
        <w:rPr>
          <w:rFonts w:ascii="Calibri" w:hAnsi="Calibri" w:cs="Calibri"/>
          <w:sz w:val="22"/>
          <w:szCs w:val="22"/>
        </w:rPr>
        <w:t>Imposes corporate governance and accounting regulations to protect investors and enhance corporate accountability.</w:t>
      </w:r>
    </w:p>
    <w:p w14:paraId="43316951" w14:textId="29E77711"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Consumer Credit Protection Act (CCPA):</w:t>
      </w:r>
      <w:r w:rsidRPr="002B28AB">
        <w:rPr>
          <w:rFonts w:ascii="Calibri" w:hAnsi="Calibri" w:cs="Calibri"/>
          <w:sz w:val="22"/>
          <w:szCs w:val="22"/>
        </w:rPr>
        <w:t xml:space="preserve"> </w:t>
      </w:r>
      <w:r w:rsidRPr="002B28AB">
        <w:rPr>
          <w:rFonts w:ascii="Calibri" w:hAnsi="Calibri" w:cs="Calibri"/>
          <w:sz w:val="22"/>
          <w:szCs w:val="22"/>
        </w:rPr>
        <w:t>Includes provisions such as restrictions on wage garnishment and requirements for employer disclosure of certain wage-related information.</w:t>
      </w:r>
    </w:p>
    <w:p w14:paraId="3CDE12CE" w14:textId="478CB43A"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Employee Retirement Income Security Act (ERISA):</w:t>
      </w:r>
      <w:r w:rsidRPr="002B28AB">
        <w:rPr>
          <w:rFonts w:ascii="Calibri" w:hAnsi="Calibri" w:cs="Calibri"/>
          <w:sz w:val="22"/>
          <w:szCs w:val="22"/>
        </w:rPr>
        <w:t xml:space="preserve"> </w:t>
      </w:r>
      <w:r w:rsidRPr="002B28AB">
        <w:rPr>
          <w:rFonts w:ascii="Calibri" w:hAnsi="Calibri" w:cs="Calibri"/>
          <w:sz w:val="22"/>
          <w:szCs w:val="22"/>
        </w:rPr>
        <w:t>Regulates employer-sponsored retirement plans and sets standards for reporting, disclosure, and fiduciary responsibilities.</w:t>
      </w:r>
    </w:p>
    <w:p w14:paraId="233835EF" w14:textId="7CABAB88"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Federal Employment Discrimination Laws (e.g., Age Discrimination in Employment Act, Rehabilitation Act, Vietnam Era Veterans' Readjustment Assistance Act):</w:t>
      </w:r>
      <w:r w:rsidRPr="002B28AB">
        <w:rPr>
          <w:rFonts w:ascii="Calibri" w:hAnsi="Calibri" w:cs="Calibri"/>
          <w:sz w:val="22"/>
          <w:szCs w:val="22"/>
        </w:rPr>
        <w:t xml:space="preserve"> </w:t>
      </w:r>
      <w:r w:rsidRPr="002B28AB">
        <w:rPr>
          <w:rFonts w:ascii="Calibri" w:hAnsi="Calibri" w:cs="Calibri"/>
          <w:sz w:val="22"/>
          <w:szCs w:val="22"/>
        </w:rPr>
        <w:t>Prohibit discrimination based on age, disability, veteran status, and other protected characteristics in federal employment.</w:t>
      </w:r>
    </w:p>
    <w:p w14:paraId="6566F508" w14:textId="1F56B68F"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Executive Orders (e.g., Executive Order 11246, Section 503 of the Rehabilitation Act, Vietnam Era Veterans' Readjustment Assistance Act):</w:t>
      </w:r>
      <w:r w:rsidRPr="002B28AB">
        <w:rPr>
          <w:rFonts w:ascii="Calibri" w:hAnsi="Calibri" w:cs="Calibri"/>
          <w:sz w:val="22"/>
          <w:szCs w:val="22"/>
        </w:rPr>
        <w:t xml:space="preserve"> </w:t>
      </w:r>
      <w:r w:rsidRPr="002B28AB">
        <w:rPr>
          <w:rFonts w:ascii="Calibri" w:hAnsi="Calibri" w:cs="Calibri"/>
          <w:sz w:val="22"/>
          <w:szCs w:val="22"/>
        </w:rPr>
        <w:t>Impose affirmative action and equal employment opportunity requirements on federal contractors and subcontractors.</w:t>
      </w:r>
    </w:p>
    <w:p w14:paraId="7557F54A" w14:textId="745A020C"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Health Insurance Portability and Accountability Act (HIPAA):</w:t>
      </w:r>
      <w:r w:rsidRPr="002B28AB">
        <w:rPr>
          <w:rFonts w:ascii="Calibri" w:hAnsi="Calibri" w:cs="Calibri"/>
          <w:sz w:val="22"/>
          <w:szCs w:val="22"/>
        </w:rPr>
        <w:t xml:space="preserve"> </w:t>
      </w:r>
      <w:r w:rsidRPr="002B28AB">
        <w:rPr>
          <w:rFonts w:ascii="Calibri" w:hAnsi="Calibri" w:cs="Calibri"/>
          <w:sz w:val="22"/>
          <w:szCs w:val="22"/>
        </w:rPr>
        <w:t>Protects the privacy and security of health information and establishes standards for electronic health care transactions.</w:t>
      </w:r>
    </w:p>
    <w:p w14:paraId="64168B22" w14:textId="6B860FC9"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Uniform Guidelines on Employee Selection Procedures (UGESP):</w:t>
      </w:r>
      <w:r w:rsidRPr="002B28AB">
        <w:rPr>
          <w:rFonts w:ascii="Calibri" w:hAnsi="Calibri" w:cs="Calibri"/>
          <w:sz w:val="22"/>
          <w:szCs w:val="22"/>
        </w:rPr>
        <w:t xml:space="preserve"> </w:t>
      </w:r>
      <w:r w:rsidRPr="002B28AB">
        <w:rPr>
          <w:rFonts w:ascii="Calibri" w:hAnsi="Calibri" w:cs="Calibri"/>
          <w:sz w:val="22"/>
          <w:szCs w:val="22"/>
        </w:rPr>
        <w:t>Provide guidance on avoiding discrimination in employee selection processes, such as hiring, promotion, and termination.</w:t>
      </w:r>
    </w:p>
    <w:p w14:paraId="0BEAFE8D" w14:textId="772A00F7"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Dodd-Frank Wall Street Reform and Consumer Protection Act:</w:t>
      </w:r>
      <w:r w:rsidRPr="002B28AB">
        <w:rPr>
          <w:rFonts w:ascii="Calibri" w:hAnsi="Calibri" w:cs="Calibri"/>
          <w:sz w:val="22"/>
          <w:szCs w:val="22"/>
        </w:rPr>
        <w:t xml:space="preserve"> </w:t>
      </w:r>
      <w:r w:rsidRPr="002B28AB">
        <w:rPr>
          <w:rFonts w:ascii="Calibri" w:hAnsi="Calibri" w:cs="Calibri"/>
          <w:sz w:val="22"/>
          <w:szCs w:val="22"/>
        </w:rPr>
        <w:t>Regulates financial institutions and markets to promote financial stability, protect consumers, and prevent another financial crisis.</w:t>
      </w:r>
    </w:p>
    <w:p w14:paraId="579AAF11" w14:textId="793DEB5C" w:rsidR="002B28AB"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Independent Contractor Laws (State-Specific):</w:t>
      </w:r>
      <w:r w:rsidRPr="002B28AB">
        <w:rPr>
          <w:rFonts w:ascii="Calibri" w:hAnsi="Calibri" w:cs="Calibri"/>
          <w:sz w:val="22"/>
          <w:szCs w:val="22"/>
        </w:rPr>
        <w:t xml:space="preserve"> </w:t>
      </w:r>
      <w:r w:rsidRPr="002B28AB">
        <w:rPr>
          <w:rFonts w:ascii="Calibri" w:hAnsi="Calibri" w:cs="Calibri"/>
          <w:sz w:val="22"/>
          <w:szCs w:val="22"/>
        </w:rPr>
        <w:t>State laws may impose additional requirements or restrictions on the classification of workers as independent contractors.</w:t>
      </w:r>
    </w:p>
    <w:p w14:paraId="1CECC9A7" w14:textId="2B36EF6C" w:rsidR="00BD4BD9" w:rsidRPr="002B28AB" w:rsidRDefault="002B28AB" w:rsidP="002B28AB">
      <w:pPr>
        <w:pStyle w:val="ListParagraph"/>
        <w:numPr>
          <w:ilvl w:val="0"/>
          <w:numId w:val="1"/>
        </w:numPr>
        <w:rPr>
          <w:rFonts w:ascii="Calibri" w:hAnsi="Calibri" w:cs="Calibri"/>
          <w:sz w:val="22"/>
          <w:szCs w:val="22"/>
        </w:rPr>
      </w:pPr>
      <w:r w:rsidRPr="002B28AB">
        <w:rPr>
          <w:rFonts w:ascii="Calibri" w:hAnsi="Calibri" w:cs="Calibri"/>
          <w:sz w:val="22"/>
          <w:szCs w:val="22"/>
        </w:rPr>
        <w:t>State Employment Laws:</w:t>
      </w:r>
      <w:r w:rsidRPr="002B28AB">
        <w:rPr>
          <w:rFonts w:ascii="Calibri" w:hAnsi="Calibri" w:cs="Calibri"/>
          <w:sz w:val="22"/>
          <w:szCs w:val="22"/>
        </w:rPr>
        <w:t xml:space="preserve"> </w:t>
      </w:r>
      <w:r w:rsidRPr="002B28AB">
        <w:rPr>
          <w:rFonts w:ascii="Calibri" w:hAnsi="Calibri" w:cs="Calibri"/>
          <w:sz w:val="22"/>
          <w:szCs w:val="22"/>
        </w:rPr>
        <w:t>Each state has its own set of employment laws covering areas such as minimum wage, overtime pay, paid sick leave, and antidiscrimination protections.</w:t>
      </w:r>
    </w:p>
    <w:sectPr w:rsidR="00BD4BD9" w:rsidRPr="002B28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BCE7C34"/>
    <w:multiLevelType w:val="hybridMultilevel"/>
    <w:tmpl w:val="6BC86A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719821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8AB"/>
    <w:rsid w:val="002B28AB"/>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74923"/>
  <w15:chartTrackingRefBased/>
  <w15:docId w15:val="{2C41EE0E-D38E-42BB-993B-C452FBEEF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28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28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28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28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28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28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28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28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28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28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28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28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28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28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28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28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28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28AB"/>
    <w:rPr>
      <w:rFonts w:eastAsiaTheme="majorEastAsia" w:cstheme="majorBidi"/>
      <w:color w:val="272727" w:themeColor="text1" w:themeTint="D8"/>
    </w:rPr>
  </w:style>
  <w:style w:type="paragraph" w:styleId="Title">
    <w:name w:val="Title"/>
    <w:basedOn w:val="Normal"/>
    <w:next w:val="Normal"/>
    <w:link w:val="TitleChar"/>
    <w:uiPriority w:val="10"/>
    <w:qFormat/>
    <w:rsid w:val="002B28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28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28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28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28AB"/>
    <w:pPr>
      <w:spacing w:before="160"/>
      <w:jc w:val="center"/>
    </w:pPr>
    <w:rPr>
      <w:i/>
      <w:iCs/>
      <w:color w:val="404040" w:themeColor="text1" w:themeTint="BF"/>
    </w:rPr>
  </w:style>
  <w:style w:type="character" w:customStyle="1" w:styleId="QuoteChar">
    <w:name w:val="Quote Char"/>
    <w:basedOn w:val="DefaultParagraphFont"/>
    <w:link w:val="Quote"/>
    <w:uiPriority w:val="29"/>
    <w:rsid w:val="002B28AB"/>
    <w:rPr>
      <w:i/>
      <w:iCs/>
      <w:color w:val="404040" w:themeColor="text1" w:themeTint="BF"/>
    </w:rPr>
  </w:style>
  <w:style w:type="paragraph" w:styleId="ListParagraph">
    <w:name w:val="List Paragraph"/>
    <w:basedOn w:val="Normal"/>
    <w:uiPriority w:val="34"/>
    <w:qFormat/>
    <w:rsid w:val="002B28AB"/>
    <w:pPr>
      <w:ind w:left="720"/>
      <w:contextualSpacing/>
    </w:pPr>
  </w:style>
  <w:style w:type="character" w:styleId="IntenseEmphasis">
    <w:name w:val="Intense Emphasis"/>
    <w:basedOn w:val="DefaultParagraphFont"/>
    <w:uiPriority w:val="21"/>
    <w:qFormat/>
    <w:rsid w:val="002B28AB"/>
    <w:rPr>
      <w:i/>
      <w:iCs/>
      <w:color w:val="0F4761" w:themeColor="accent1" w:themeShade="BF"/>
    </w:rPr>
  </w:style>
  <w:style w:type="paragraph" w:styleId="IntenseQuote">
    <w:name w:val="Intense Quote"/>
    <w:basedOn w:val="Normal"/>
    <w:next w:val="Normal"/>
    <w:link w:val="IntenseQuoteChar"/>
    <w:uiPriority w:val="30"/>
    <w:qFormat/>
    <w:rsid w:val="002B28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28AB"/>
    <w:rPr>
      <w:i/>
      <w:iCs/>
      <w:color w:val="0F4761" w:themeColor="accent1" w:themeShade="BF"/>
    </w:rPr>
  </w:style>
  <w:style w:type="character" w:styleId="IntenseReference">
    <w:name w:val="Intense Reference"/>
    <w:basedOn w:val="DefaultParagraphFont"/>
    <w:uiPriority w:val="32"/>
    <w:qFormat/>
    <w:rsid w:val="002B28A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835</Words>
  <Characters>4760</Characters>
  <Application>Microsoft Office Word</Application>
  <DocSecurity>0</DocSecurity>
  <Lines>39</Lines>
  <Paragraphs>11</Paragraphs>
  <ScaleCrop>false</ScaleCrop>
  <Company/>
  <LinksUpToDate>false</LinksUpToDate>
  <CharactersWithSpaces>5584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2024-05-08T13:48:00Z</dcterms:created>
  <dcterms:modified xsi:type="dcterms:W3CDTF">2024-05-08T13:56:00Z</dcterms:modified>
</cp:coreProperties>
</file>