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D1F63F" w14:textId="77777777" w:rsidR="005E1D23" w:rsidRPr="005E1D23" w:rsidRDefault="005E1D23" w:rsidP="005E1D23">
      <w:pPr>
        <w:rPr>
          <w:rFonts w:ascii="Calibri" w:hAnsi="Calibri" w:cs="Calibri"/>
          <w:b/>
          <w:bCs/>
          <w:sz w:val="22"/>
          <w:szCs w:val="22"/>
        </w:rPr>
      </w:pPr>
      <w:r w:rsidRPr="005E1D23">
        <w:rPr>
          <w:rFonts w:ascii="Calibri" w:hAnsi="Calibri" w:cs="Calibri"/>
          <w:b/>
          <w:bCs/>
          <w:sz w:val="22"/>
          <w:szCs w:val="22"/>
        </w:rPr>
        <w:t>U.S. Taxation and Financial Considerations</w:t>
      </w:r>
    </w:p>
    <w:p w14:paraId="20E0BDB5" w14:textId="77777777" w:rsidR="005E1D23" w:rsidRPr="005E1D23" w:rsidRDefault="005E1D23" w:rsidP="005E1D23">
      <w:pPr>
        <w:rPr>
          <w:rFonts w:ascii="Calibri" w:hAnsi="Calibri" w:cs="Calibri"/>
          <w:sz w:val="22"/>
          <w:szCs w:val="22"/>
        </w:rPr>
      </w:pPr>
    </w:p>
    <w:p w14:paraId="24942A4D" w14:textId="54AC2E0A" w:rsidR="005E1D23" w:rsidRPr="005E1D23" w:rsidRDefault="005E1D23" w:rsidP="005E1D23">
      <w:pPr>
        <w:rPr>
          <w:rFonts w:ascii="Calibri" w:hAnsi="Calibri" w:cs="Calibri"/>
          <w:sz w:val="22"/>
          <w:szCs w:val="22"/>
        </w:rPr>
      </w:pPr>
      <w:r w:rsidRPr="005E1D23">
        <w:rPr>
          <w:rFonts w:ascii="Calibri" w:hAnsi="Calibri" w:cs="Calibri"/>
          <w:sz w:val="22"/>
          <w:szCs w:val="22"/>
        </w:rPr>
        <w:t>Navigating the U.S. tax and financial landscape can be complex for foreign companies, so it's essential to seek professional advice from tax experts and financial advisors with knowledge of U.S. tax laws and regulations.</w:t>
      </w:r>
    </w:p>
    <w:p w14:paraId="7FCC73DD" w14:textId="31629BC4"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Corporate Taxation:</w:t>
      </w:r>
      <w:r w:rsidRPr="005E1D23">
        <w:rPr>
          <w:rFonts w:ascii="Calibri" w:hAnsi="Calibri" w:cs="Calibri"/>
          <w:sz w:val="22"/>
          <w:szCs w:val="22"/>
        </w:rPr>
        <w:t xml:space="preserve"> </w:t>
      </w:r>
      <w:r w:rsidRPr="005E1D23">
        <w:rPr>
          <w:rFonts w:ascii="Calibri" w:hAnsi="Calibri" w:cs="Calibri"/>
          <w:sz w:val="22"/>
          <w:szCs w:val="22"/>
        </w:rPr>
        <w:t>Understand the U.S. federal corporate income tax rate and tax brackets, which can vary depending on the company's taxable income.</w:t>
      </w:r>
    </w:p>
    <w:p w14:paraId="6A2ECDCE" w14:textId="71B68DB5"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State and Local Taxes:</w:t>
      </w:r>
      <w:r w:rsidRPr="005E1D23">
        <w:rPr>
          <w:rFonts w:ascii="Calibri" w:hAnsi="Calibri" w:cs="Calibri"/>
          <w:sz w:val="22"/>
          <w:szCs w:val="22"/>
        </w:rPr>
        <w:t xml:space="preserve"> </w:t>
      </w:r>
      <w:r w:rsidRPr="005E1D23">
        <w:rPr>
          <w:rFonts w:ascii="Calibri" w:hAnsi="Calibri" w:cs="Calibri"/>
          <w:sz w:val="22"/>
          <w:szCs w:val="22"/>
        </w:rPr>
        <w:t>Be aware of state corporate income taxes, sales taxes, property taxes, and other local taxes, as tax rates and requirements vary by state and locality.</w:t>
      </w:r>
    </w:p>
    <w:p w14:paraId="5A83FC93" w14:textId="2A5FF3B5"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 Treaties:</w:t>
      </w:r>
      <w:r w:rsidRPr="005E1D23">
        <w:rPr>
          <w:rFonts w:ascii="Calibri" w:hAnsi="Calibri" w:cs="Calibri"/>
          <w:sz w:val="22"/>
          <w:szCs w:val="22"/>
        </w:rPr>
        <w:t xml:space="preserve"> </w:t>
      </w:r>
      <w:r w:rsidRPr="005E1D23">
        <w:rPr>
          <w:rFonts w:ascii="Calibri" w:hAnsi="Calibri" w:cs="Calibri"/>
          <w:sz w:val="22"/>
          <w:szCs w:val="22"/>
        </w:rPr>
        <w:t>Determine whether the U.S. has a tax treaty with the foreign company's home country, which may affect tax liabilities and provide potential benefits, such as reduced withholding rates on certain types of income.</w:t>
      </w:r>
    </w:p>
    <w:p w14:paraId="2ACC1596" w14:textId="4D735A63"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 Compliance Requirements:</w:t>
      </w:r>
      <w:r w:rsidRPr="005E1D23">
        <w:rPr>
          <w:rFonts w:ascii="Calibri" w:hAnsi="Calibri" w:cs="Calibri"/>
          <w:sz w:val="22"/>
          <w:szCs w:val="22"/>
        </w:rPr>
        <w:t xml:space="preserve"> </w:t>
      </w:r>
      <w:r w:rsidRPr="005E1D23">
        <w:rPr>
          <w:rFonts w:ascii="Calibri" w:hAnsi="Calibri" w:cs="Calibri"/>
          <w:sz w:val="22"/>
          <w:szCs w:val="22"/>
        </w:rPr>
        <w:t>Familiarize yourself with U.S. tax filing obligations, including corporate tax returns (e.g., Form 1120), information reporting (e.g., Form 5472 for certain foreign-owned corporations), and other tax-related filings.</w:t>
      </w:r>
    </w:p>
    <w:p w14:paraId="222DDD34" w14:textId="2E211A0E"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Transfer Pricing Rules:</w:t>
      </w:r>
      <w:r w:rsidRPr="005E1D23">
        <w:rPr>
          <w:rFonts w:ascii="Calibri" w:hAnsi="Calibri" w:cs="Calibri"/>
          <w:sz w:val="22"/>
          <w:szCs w:val="22"/>
        </w:rPr>
        <w:t xml:space="preserve"> </w:t>
      </w:r>
      <w:r w:rsidRPr="005E1D23">
        <w:rPr>
          <w:rFonts w:ascii="Calibri" w:hAnsi="Calibri" w:cs="Calibri"/>
          <w:sz w:val="22"/>
          <w:szCs w:val="22"/>
        </w:rPr>
        <w:t>Understand transfer pricing regulations to ensure arm's length pricing for transactions between related parties, such as intercompany sales of goods, services, or intellectual property.</w:t>
      </w:r>
    </w:p>
    <w:p w14:paraId="16A7B68F" w14:textId="3252B0F5"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Permanent Establishment (PE) Risk:</w:t>
      </w:r>
      <w:r w:rsidRPr="005E1D23">
        <w:rPr>
          <w:rFonts w:ascii="Calibri" w:hAnsi="Calibri" w:cs="Calibri"/>
          <w:sz w:val="22"/>
          <w:szCs w:val="22"/>
        </w:rPr>
        <w:t xml:space="preserve"> </w:t>
      </w:r>
      <w:r w:rsidRPr="005E1D23">
        <w:rPr>
          <w:rFonts w:ascii="Calibri" w:hAnsi="Calibri" w:cs="Calibri"/>
          <w:sz w:val="22"/>
          <w:szCs w:val="22"/>
        </w:rPr>
        <w:t>Assess the risk of creating a PE in the United States, which could subject the foreign company to additional U.S. taxation on its business profits attributable to the PE.</w:t>
      </w:r>
    </w:p>
    <w:p w14:paraId="6C0D8EEC" w14:textId="33C16ECB"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Employment Taxes:</w:t>
      </w:r>
      <w:r w:rsidRPr="005E1D23">
        <w:rPr>
          <w:rFonts w:ascii="Calibri" w:hAnsi="Calibri" w:cs="Calibri"/>
          <w:sz w:val="22"/>
          <w:szCs w:val="22"/>
        </w:rPr>
        <w:t xml:space="preserve"> </w:t>
      </w:r>
      <w:r w:rsidRPr="005E1D23">
        <w:rPr>
          <w:rFonts w:ascii="Calibri" w:hAnsi="Calibri" w:cs="Calibri"/>
          <w:sz w:val="22"/>
          <w:szCs w:val="22"/>
        </w:rPr>
        <w:t>Comply with U.S. payroll tax requirements, including withholding federal income tax, Social Security tax, and Medicare tax from employees' wages, as well as paying employer payroll taxes.</w:t>
      </w:r>
    </w:p>
    <w:p w14:paraId="73365980" w14:textId="3DD4EC26"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Sales Tax (Value Added Tax):</w:t>
      </w:r>
      <w:r w:rsidRPr="005E1D23">
        <w:rPr>
          <w:rFonts w:ascii="Calibri" w:hAnsi="Calibri" w:cs="Calibri"/>
          <w:sz w:val="22"/>
          <w:szCs w:val="22"/>
        </w:rPr>
        <w:t xml:space="preserve"> </w:t>
      </w:r>
      <w:r w:rsidRPr="005E1D23">
        <w:rPr>
          <w:rFonts w:ascii="Calibri" w:hAnsi="Calibri" w:cs="Calibri"/>
          <w:sz w:val="22"/>
          <w:szCs w:val="22"/>
        </w:rPr>
        <w:t xml:space="preserve">Determine whether the company is required to collect and remit sales tax on sales of goods or services in states with sales tax </w:t>
      </w:r>
      <w:r w:rsidRPr="005E1D23">
        <w:rPr>
          <w:rFonts w:ascii="Calibri" w:hAnsi="Calibri" w:cs="Calibri"/>
          <w:sz w:val="22"/>
          <w:szCs w:val="22"/>
        </w:rPr>
        <w:t>regimes and</w:t>
      </w:r>
      <w:r w:rsidRPr="005E1D23">
        <w:rPr>
          <w:rFonts w:ascii="Calibri" w:hAnsi="Calibri" w:cs="Calibri"/>
          <w:sz w:val="22"/>
          <w:szCs w:val="22"/>
        </w:rPr>
        <w:t xml:space="preserve"> understand the nexus rules that determine sales tax obligations.</w:t>
      </w:r>
    </w:p>
    <w:p w14:paraId="39BCBA2D" w14:textId="01B1505A"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Customs Duties and Import Taxes:</w:t>
      </w:r>
      <w:r w:rsidRPr="005E1D23">
        <w:rPr>
          <w:rFonts w:ascii="Calibri" w:hAnsi="Calibri" w:cs="Calibri"/>
          <w:sz w:val="22"/>
          <w:szCs w:val="22"/>
        </w:rPr>
        <w:t xml:space="preserve"> </w:t>
      </w:r>
      <w:r w:rsidRPr="005E1D23">
        <w:rPr>
          <w:rFonts w:ascii="Calibri" w:hAnsi="Calibri" w:cs="Calibri"/>
          <w:sz w:val="22"/>
          <w:szCs w:val="22"/>
        </w:rPr>
        <w:t>Consider customs duties, tariffs, and import taxes on goods imported into the United States, and assess the impact on pricing, supply chain logistics, and import/export compliance.</w:t>
      </w:r>
    </w:p>
    <w:p w14:paraId="47038A7C" w14:textId="4518317A"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 Incentives and Credits:</w:t>
      </w:r>
      <w:r w:rsidRPr="005E1D23">
        <w:rPr>
          <w:rFonts w:ascii="Calibri" w:hAnsi="Calibri" w:cs="Calibri"/>
          <w:sz w:val="22"/>
          <w:szCs w:val="22"/>
        </w:rPr>
        <w:t xml:space="preserve"> </w:t>
      </w:r>
      <w:r w:rsidRPr="005E1D23">
        <w:rPr>
          <w:rFonts w:ascii="Calibri" w:hAnsi="Calibri" w:cs="Calibri"/>
          <w:sz w:val="22"/>
          <w:szCs w:val="22"/>
        </w:rPr>
        <w:t>Explore federal, state, and local tax incentives, credits, and deductions available to businesses, such as research and development (R&amp;D) tax credits, investment tax credits, and enterprise zone incentives.</w:t>
      </w:r>
    </w:p>
    <w:p w14:paraId="74C803EF" w14:textId="42A6C9C2"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Foreign Account Tax Compliance Act (FATCA):</w:t>
      </w:r>
      <w:r w:rsidRPr="005E1D23">
        <w:rPr>
          <w:rFonts w:ascii="Calibri" w:hAnsi="Calibri" w:cs="Calibri"/>
          <w:sz w:val="22"/>
          <w:szCs w:val="22"/>
        </w:rPr>
        <w:t xml:space="preserve"> </w:t>
      </w:r>
      <w:r w:rsidRPr="005E1D23">
        <w:rPr>
          <w:rFonts w:ascii="Calibri" w:hAnsi="Calibri" w:cs="Calibri"/>
          <w:sz w:val="22"/>
          <w:szCs w:val="22"/>
        </w:rPr>
        <w:t xml:space="preserve">Comply with FATCA reporting requirements if the foreign company has U.S. financial accounts or </w:t>
      </w:r>
      <w:r w:rsidRPr="005E1D23">
        <w:rPr>
          <w:rFonts w:ascii="Calibri" w:hAnsi="Calibri" w:cs="Calibri"/>
          <w:sz w:val="22"/>
          <w:szCs w:val="22"/>
        </w:rPr>
        <w:t>investments and</w:t>
      </w:r>
      <w:r w:rsidRPr="005E1D23">
        <w:rPr>
          <w:rFonts w:ascii="Calibri" w:hAnsi="Calibri" w:cs="Calibri"/>
          <w:sz w:val="22"/>
          <w:szCs w:val="22"/>
        </w:rPr>
        <w:t xml:space="preserve"> ensure proper withholding on U.S. source income.</w:t>
      </w:r>
    </w:p>
    <w:p w14:paraId="54029B6D" w14:textId="218378CA"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Foreign Investment in Real Property Tax Act (FIRPTA):</w:t>
      </w:r>
      <w:r w:rsidRPr="005E1D23">
        <w:rPr>
          <w:rFonts w:ascii="Calibri" w:hAnsi="Calibri" w:cs="Calibri"/>
          <w:sz w:val="22"/>
          <w:szCs w:val="22"/>
        </w:rPr>
        <w:t xml:space="preserve"> </w:t>
      </w:r>
      <w:r w:rsidRPr="005E1D23">
        <w:rPr>
          <w:rFonts w:ascii="Calibri" w:hAnsi="Calibri" w:cs="Calibri"/>
          <w:sz w:val="22"/>
          <w:szCs w:val="22"/>
        </w:rPr>
        <w:t>Understand FIRPTA rules regarding taxation of gains from the disposition of U.S. real property interests by foreign persons.</w:t>
      </w:r>
    </w:p>
    <w:p w14:paraId="5203F6A9" w14:textId="43E0C8C8"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lastRenderedPageBreak/>
        <w:t>International Tax Planning:</w:t>
      </w:r>
      <w:r w:rsidRPr="005E1D23">
        <w:rPr>
          <w:rFonts w:ascii="Calibri" w:hAnsi="Calibri" w:cs="Calibri"/>
          <w:sz w:val="22"/>
          <w:szCs w:val="22"/>
        </w:rPr>
        <w:t xml:space="preserve"> </w:t>
      </w:r>
      <w:r w:rsidRPr="005E1D23">
        <w:rPr>
          <w:rFonts w:ascii="Calibri" w:hAnsi="Calibri" w:cs="Calibri"/>
          <w:sz w:val="22"/>
          <w:szCs w:val="22"/>
        </w:rPr>
        <w:t>Engage tax advisors and consultants with expertise in international taxation to develop tax-efficient structures and strategies for the foreign company's U.S. operations.</w:t>
      </w:r>
    </w:p>
    <w:p w14:paraId="7DF7C9FF" w14:textId="4C21AA42"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Financial Reporting and Compliance:</w:t>
      </w:r>
      <w:r w:rsidRPr="005E1D23">
        <w:rPr>
          <w:rFonts w:ascii="Calibri" w:hAnsi="Calibri" w:cs="Calibri"/>
          <w:sz w:val="22"/>
          <w:szCs w:val="22"/>
        </w:rPr>
        <w:t xml:space="preserve"> </w:t>
      </w:r>
      <w:r w:rsidRPr="005E1D23">
        <w:rPr>
          <w:rFonts w:ascii="Calibri" w:hAnsi="Calibri" w:cs="Calibri"/>
          <w:sz w:val="22"/>
          <w:szCs w:val="22"/>
        </w:rPr>
        <w:t>Ensure compliance with U.S. Generally Accepted Accounting Principles (GAAP) or International Financial Reporting Standards (IFRS) for financial reporting purposes and adhere to regulatory requirements for publicly traded companies.</w:t>
      </w:r>
    </w:p>
    <w:p w14:paraId="61F498EC" w14:textId="47B29A83"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 Residency Rules:</w:t>
      </w:r>
      <w:r w:rsidRPr="005E1D23">
        <w:rPr>
          <w:rFonts w:ascii="Calibri" w:hAnsi="Calibri" w:cs="Calibri"/>
          <w:sz w:val="22"/>
          <w:szCs w:val="22"/>
        </w:rPr>
        <w:t xml:space="preserve"> </w:t>
      </w:r>
      <w:r w:rsidRPr="005E1D23">
        <w:rPr>
          <w:rFonts w:ascii="Calibri" w:hAnsi="Calibri" w:cs="Calibri"/>
          <w:sz w:val="22"/>
          <w:szCs w:val="22"/>
        </w:rPr>
        <w:t>Understand the concept of tax residency for corporate entities and individuals, as well as the implications for determining U.S. tax obligations based on residency status.</w:t>
      </w:r>
    </w:p>
    <w:p w14:paraId="0DBD1668" w14:textId="5826C374"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Withholding Taxes:</w:t>
      </w:r>
      <w:r w:rsidRPr="005E1D23">
        <w:rPr>
          <w:rFonts w:ascii="Calibri" w:hAnsi="Calibri" w:cs="Calibri"/>
          <w:sz w:val="22"/>
          <w:szCs w:val="22"/>
        </w:rPr>
        <w:t xml:space="preserve"> </w:t>
      </w:r>
      <w:r w:rsidRPr="005E1D23">
        <w:rPr>
          <w:rFonts w:ascii="Calibri" w:hAnsi="Calibri" w:cs="Calibri"/>
          <w:sz w:val="22"/>
          <w:szCs w:val="22"/>
        </w:rPr>
        <w:t>Be aware of U.S. withholding tax requirements on certain types of payments made to foreign persons, such as dividends, interest, royalties, and services income.</w:t>
      </w:r>
    </w:p>
    <w:p w14:paraId="7643257D" w14:textId="47C285E7"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Taxation of Foreign-Owned U.S. Entities:</w:t>
      </w:r>
      <w:r w:rsidRPr="005E1D23">
        <w:rPr>
          <w:rFonts w:ascii="Calibri" w:hAnsi="Calibri" w:cs="Calibri"/>
          <w:sz w:val="22"/>
          <w:szCs w:val="22"/>
        </w:rPr>
        <w:t xml:space="preserve"> </w:t>
      </w:r>
      <w:r w:rsidRPr="005E1D23">
        <w:rPr>
          <w:rFonts w:ascii="Calibri" w:hAnsi="Calibri" w:cs="Calibri"/>
          <w:sz w:val="22"/>
          <w:szCs w:val="22"/>
        </w:rPr>
        <w:t>Consider the taxation of foreign-owned U.S. entities, including controlled foreign corporations (CFCs), passive foreign investment companies (PFICs), and foreign-owned disregarded entities.</w:t>
      </w:r>
    </w:p>
    <w:p w14:paraId="302EFA8C" w14:textId="340F2265"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Qualified Business Income Deduction (Section 199A):</w:t>
      </w:r>
      <w:r w:rsidRPr="005E1D23">
        <w:rPr>
          <w:rFonts w:ascii="Calibri" w:hAnsi="Calibri" w:cs="Calibri"/>
          <w:sz w:val="22"/>
          <w:szCs w:val="22"/>
        </w:rPr>
        <w:t xml:space="preserve"> </w:t>
      </w:r>
      <w:r w:rsidRPr="005E1D23">
        <w:rPr>
          <w:rFonts w:ascii="Calibri" w:hAnsi="Calibri" w:cs="Calibri"/>
          <w:sz w:val="22"/>
          <w:szCs w:val="22"/>
        </w:rPr>
        <w:t>Evaluate eligibility for the Section 199A deduction, which allows certain pass-through entities, such as partnerships and S corporations, to deduct up to 20% of qualified business income.</w:t>
      </w:r>
    </w:p>
    <w:p w14:paraId="02B4B15A" w14:textId="029BD484"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State Economic Nexus Laws:</w:t>
      </w:r>
      <w:r w:rsidRPr="005E1D23">
        <w:rPr>
          <w:rFonts w:ascii="Calibri" w:hAnsi="Calibri" w:cs="Calibri"/>
          <w:sz w:val="22"/>
          <w:szCs w:val="22"/>
        </w:rPr>
        <w:t xml:space="preserve"> </w:t>
      </w:r>
      <w:r w:rsidRPr="005E1D23">
        <w:rPr>
          <w:rFonts w:ascii="Calibri" w:hAnsi="Calibri" w:cs="Calibri"/>
          <w:sz w:val="22"/>
          <w:szCs w:val="22"/>
        </w:rPr>
        <w:t>Monitor changes in state economic nexus laws following the U.S. Supreme Court's decision in South Dakota v. Wayfair, Inc., which expanded states' authority to impose sales tax obligations on remote sellers.</w:t>
      </w:r>
    </w:p>
    <w:p w14:paraId="6ED5150A" w14:textId="0E7654B4"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Foreign Currency Transactions:</w:t>
      </w:r>
      <w:r w:rsidRPr="005E1D23">
        <w:rPr>
          <w:rFonts w:ascii="Calibri" w:hAnsi="Calibri" w:cs="Calibri"/>
          <w:sz w:val="22"/>
          <w:szCs w:val="22"/>
        </w:rPr>
        <w:t xml:space="preserve"> </w:t>
      </w:r>
      <w:r w:rsidRPr="005E1D23">
        <w:rPr>
          <w:rFonts w:ascii="Calibri" w:hAnsi="Calibri" w:cs="Calibri"/>
          <w:sz w:val="22"/>
          <w:szCs w:val="22"/>
        </w:rPr>
        <w:t>Consider the tax treatment of foreign currency transactions, including gains or losses from currency exchange fluctuations and foreign currency translation adjustments for financial reporting purposes.</w:t>
      </w:r>
    </w:p>
    <w:p w14:paraId="17084445" w14:textId="4141CCD8"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 Deferral Strategies:</w:t>
      </w:r>
      <w:r w:rsidRPr="005E1D23">
        <w:rPr>
          <w:rFonts w:ascii="Calibri" w:hAnsi="Calibri" w:cs="Calibri"/>
          <w:sz w:val="22"/>
          <w:szCs w:val="22"/>
        </w:rPr>
        <w:t xml:space="preserve"> </w:t>
      </w:r>
      <w:r w:rsidRPr="005E1D23">
        <w:rPr>
          <w:rFonts w:ascii="Calibri" w:hAnsi="Calibri" w:cs="Calibri"/>
          <w:sz w:val="22"/>
          <w:szCs w:val="22"/>
        </w:rPr>
        <w:t>Explore tax deferral strategies, such as reinvestment of earnings in qualified business assets or participation in like-kind exchange transactions (Section 1031 exchanges), to defer recognition of taxable gains.</w:t>
      </w:r>
    </w:p>
    <w:p w14:paraId="489F7853" w14:textId="341E37C1"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 Controversy and Dispute Resolution:</w:t>
      </w:r>
      <w:r w:rsidRPr="005E1D23">
        <w:rPr>
          <w:rFonts w:ascii="Calibri" w:hAnsi="Calibri" w:cs="Calibri"/>
          <w:sz w:val="22"/>
          <w:szCs w:val="22"/>
        </w:rPr>
        <w:t xml:space="preserve"> </w:t>
      </w:r>
      <w:r w:rsidRPr="005E1D23">
        <w:rPr>
          <w:rFonts w:ascii="Calibri" w:hAnsi="Calibri" w:cs="Calibri"/>
          <w:sz w:val="22"/>
          <w:szCs w:val="22"/>
        </w:rPr>
        <w:t>Develop strategies for managing tax controversies and disputes with the Internal Revenue Service (IRS) or state tax authorities, including administrative appeals, settlement negotiations, and litigation options.</w:t>
      </w:r>
    </w:p>
    <w:p w14:paraId="7D841940" w14:textId="6CBA074C"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 Reporting for International Transactions:</w:t>
      </w:r>
      <w:r w:rsidRPr="005E1D23">
        <w:rPr>
          <w:rFonts w:ascii="Calibri" w:hAnsi="Calibri" w:cs="Calibri"/>
          <w:sz w:val="22"/>
          <w:szCs w:val="22"/>
        </w:rPr>
        <w:t xml:space="preserve"> </w:t>
      </w:r>
      <w:r w:rsidRPr="005E1D23">
        <w:rPr>
          <w:rFonts w:ascii="Calibri" w:hAnsi="Calibri" w:cs="Calibri"/>
          <w:sz w:val="22"/>
          <w:szCs w:val="22"/>
        </w:rPr>
        <w:t>Ensure compliance with tax reporting requirements for international transactions, such as reporting of foreign financial accounts (FBAR) and foreign-owned U.S. real property (Form 8288).</w:t>
      </w:r>
    </w:p>
    <w:p w14:paraId="086ADE90" w14:textId="7E4B0672"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 Treaties and Bilateral Agreements:</w:t>
      </w:r>
      <w:r w:rsidRPr="005E1D23">
        <w:rPr>
          <w:rFonts w:ascii="Calibri" w:hAnsi="Calibri" w:cs="Calibri"/>
          <w:sz w:val="22"/>
          <w:szCs w:val="22"/>
        </w:rPr>
        <w:t xml:space="preserve"> </w:t>
      </w:r>
      <w:r w:rsidRPr="005E1D23">
        <w:rPr>
          <w:rFonts w:ascii="Calibri" w:hAnsi="Calibri" w:cs="Calibri"/>
          <w:sz w:val="22"/>
          <w:szCs w:val="22"/>
        </w:rPr>
        <w:t>Review applicable tax treaties and bilateral agreements between the United States and the foreign company's home country to determine potential benefits, such as reduced withholding rates and treaty-based relief from double taxation.</w:t>
      </w:r>
    </w:p>
    <w:p w14:paraId="2FAC9EEE" w14:textId="72EA71B1"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Taxation of Digital Goods and Services:</w:t>
      </w:r>
      <w:r w:rsidRPr="005E1D23">
        <w:rPr>
          <w:rFonts w:ascii="Calibri" w:hAnsi="Calibri" w:cs="Calibri"/>
          <w:sz w:val="22"/>
          <w:szCs w:val="22"/>
        </w:rPr>
        <w:t xml:space="preserve"> </w:t>
      </w:r>
      <w:r w:rsidRPr="005E1D23">
        <w:rPr>
          <w:rFonts w:ascii="Calibri" w:hAnsi="Calibri" w:cs="Calibri"/>
          <w:sz w:val="22"/>
          <w:szCs w:val="22"/>
        </w:rPr>
        <w:t>Understand the taxation of digital goods and services, including sales tax obligations for online sales, digital downloads, and electronic services provided to customers in the United States.</w:t>
      </w:r>
    </w:p>
    <w:p w14:paraId="6CB5A93A" w14:textId="7286C8B6"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t>Global Intangible Low-Taxed Income (GILTI):</w:t>
      </w:r>
      <w:r w:rsidRPr="005E1D23">
        <w:rPr>
          <w:rFonts w:ascii="Calibri" w:hAnsi="Calibri" w:cs="Calibri"/>
          <w:sz w:val="22"/>
          <w:szCs w:val="22"/>
        </w:rPr>
        <w:t xml:space="preserve"> </w:t>
      </w:r>
      <w:r w:rsidRPr="005E1D23">
        <w:rPr>
          <w:rFonts w:ascii="Calibri" w:hAnsi="Calibri" w:cs="Calibri"/>
          <w:sz w:val="22"/>
          <w:szCs w:val="22"/>
        </w:rPr>
        <w:t>Evaluate the impact of GILTI rules on foreign-owned U.S. entities with controlled foreign subsidiaries, which may result in taxation of certain foreign income at the U.S. corporate tax rate.</w:t>
      </w:r>
    </w:p>
    <w:p w14:paraId="34FC62C6" w14:textId="17773EAD" w:rsidR="005E1D23" w:rsidRPr="005E1D23" w:rsidRDefault="005E1D23" w:rsidP="005E1D23">
      <w:pPr>
        <w:pStyle w:val="ListParagraph"/>
        <w:numPr>
          <w:ilvl w:val="0"/>
          <w:numId w:val="1"/>
        </w:numPr>
        <w:rPr>
          <w:rFonts w:ascii="Calibri" w:hAnsi="Calibri" w:cs="Calibri"/>
          <w:sz w:val="22"/>
          <w:szCs w:val="22"/>
        </w:rPr>
      </w:pPr>
      <w:r w:rsidRPr="005E1D23">
        <w:rPr>
          <w:rFonts w:ascii="Calibri" w:hAnsi="Calibri" w:cs="Calibri"/>
          <w:sz w:val="22"/>
          <w:szCs w:val="22"/>
        </w:rPr>
        <w:lastRenderedPageBreak/>
        <w:t>Tax Credits and Incentives for Investment:</w:t>
      </w:r>
      <w:r w:rsidRPr="005E1D23">
        <w:rPr>
          <w:rFonts w:ascii="Calibri" w:hAnsi="Calibri" w:cs="Calibri"/>
          <w:sz w:val="22"/>
          <w:szCs w:val="22"/>
        </w:rPr>
        <w:t xml:space="preserve"> </w:t>
      </w:r>
      <w:r w:rsidRPr="005E1D23">
        <w:rPr>
          <w:rFonts w:ascii="Calibri" w:hAnsi="Calibri" w:cs="Calibri"/>
          <w:sz w:val="22"/>
          <w:szCs w:val="22"/>
        </w:rPr>
        <w:t xml:space="preserve">Explore federal and state tax credits and incentives available for investment in targeted industries, </w:t>
      </w:r>
      <w:proofErr w:type="gramStart"/>
      <w:r w:rsidRPr="005E1D23">
        <w:rPr>
          <w:rFonts w:ascii="Calibri" w:hAnsi="Calibri" w:cs="Calibri"/>
          <w:sz w:val="22"/>
          <w:szCs w:val="22"/>
        </w:rPr>
        <w:t>research</w:t>
      </w:r>
      <w:proofErr w:type="gramEnd"/>
      <w:r w:rsidRPr="005E1D23">
        <w:rPr>
          <w:rFonts w:ascii="Calibri" w:hAnsi="Calibri" w:cs="Calibri"/>
          <w:sz w:val="22"/>
          <w:szCs w:val="22"/>
        </w:rPr>
        <w:t xml:space="preserve"> and development (R&amp;D) activities, job creation, and economic development initiatives.</w:t>
      </w:r>
    </w:p>
    <w:p w14:paraId="08A15426" w14:textId="77777777" w:rsidR="00BD4BD9" w:rsidRPr="005E1D23" w:rsidRDefault="00BD4BD9">
      <w:pPr>
        <w:rPr>
          <w:rFonts w:ascii="Calibri" w:hAnsi="Calibri" w:cs="Calibri"/>
          <w:sz w:val="22"/>
          <w:szCs w:val="22"/>
        </w:rPr>
      </w:pPr>
    </w:p>
    <w:sectPr w:rsidR="00BD4BD9" w:rsidRPr="005E1D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976AE0"/>
    <w:multiLevelType w:val="hybridMultilevel"/>
    <w:tmpl w:val="DAE2A1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91806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D23"/>
    <w:rsid w:val="005E1D23"/>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72EA6"/>
  <w15:chartTrackingRefBased/>
  <w15:docId w15:val="{8BA1765D-D39B-4944-831C-8EF101D4D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1D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1D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1D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1D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1D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1D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1D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1D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1D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1D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1D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1D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1D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1D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1D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1D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1D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1D23"/>
    <w:rPr>
      <w:rFonts w:eastAsiaTheme="majorEastAsia" w:cstheme="majorBidi"/>
      <w:color w:val="272727" w:themeColor="text1" w:themeTint="D8"/>
    </w:rPr>
  </w:style>
  <w:style w:type="paragraph" w:styleId="Title">
    <w:name w:val="Title"/>
    <w:basedOn w:val="Normal"/>
    <w:next w:val="Normal"/>
    <w:link w:val="TitleChar"/>
    <w:uiPriority w:val="10"/>
    <w:qFormat/>
    <w:rsid w:val="005E1D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1D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1D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1D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1D23"/>
    <w:pPr>
      <w:spacing w:before="160"/>
      <w:jc w:val="center"/>
    </w:pPr>
    <w:rPr>
      <w:i/>
      <w:iCs/>
      <w:color w:val="404040" w:themeColor="text1" w:themeTint="BF"/>
    </w:rPr>
  </w:style>
  <w:style w:type="character" w:customStyle="1" w:styleId="QuoteChar">
    <w:name w:val="Quote Char"/>
    <w:basedOn w:val="DefaultParagraphFont"/>
    <w:link w:val="Quote"/>
    <w:uiPriority w:val="29"/>
    <w:rsid w:val="005E1D23"/>
    <w:rPr>
      <w:i/>
      <w:iCs/>
      <w:color w:val="404040" w:themeColor="text1" w:themeTint="BF"/>
    </w:rPr>
  </w:style>
  <w:style w:type="paragraph" w:styleId="ListParagraph">
    <w:name w:val="List Paragraph"/>
    <w:basedOn w:val="Normal"/>
    <w:uiPriority w:val="34"/>
    <w:qFormat/>
    <w:rsid w:val="005E1D23"/>
    <w:pPr>
      <w:ind w:left="720"/>
      <w:contextualSpacing/>
    </w:pPr>
  </w:style>
  <w:style w:type="character" w:styleId="IntenseEmphasis">
    <w:name w:val="Intense Emphasis"/>
    <w:basedOn w:val="DefaultParagraphFont"/>
    <w:uiPriority w:val="21"/>
    <w:qFormat/>
    <w:rsid w:val="005E1D23"/>
    <w:rPr>
      <w:i/>
      <w:iCs/>
      <w:color w:val="0F4761" w:themeColor="accent1" w:themeShade="BF"/>
    </w:rPr>
  </w:style>
  <w:style w:type="paragraph" w:styleId="IntenseQuote">
    <w:name w:val="Intense Quote"/>
    <w:basedOn w:val="Normal"/>
    <w:next w:val="Normal"/>
    <w:link w:val="IntenseQuoteChar"/>
    <w:uiPriority w:val="30"/>
    <w:qFormat/>
    <w:rsid w:val="005E1D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1D23"/>
    <w:rPr>
      <w:i/>
      <w:iCs/>
      <w:color w:val="0F4761" w:themeColor="accent1" w:themeShade="BF"/>
    </w:rPr>
  </w:style>
  <w:style w:type="character" w:styleId="IntenseReference">
    <w:name w:val="Intense Reference"/>
    <w:basedOn w:val="DefaultParagraphFont"/>
    <w:uiPriority w:val="32"/>
    <w:qFormat/>
    <w:rsid w:val="005E1D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930</Words>
  <Characters>5301</Characters>
  <Application>Microsoft Office Word</Application>
  <DocSecurity>0</DocSecurity>
  <Lines>44</Lines>
  <Paragraphs>12</Paragraphs>
  <ScaleCrop>false</ScaleCrop>
  <Company/>
  <LinksUpToDate>false</LinksUpToDate>
  <CharactersWithSpaces>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2024-05-08T13:56:00Z</dcterms:created>
  <dcterms:modified xsi:type="dcterms:W3CDTF">2024-05-08T14:02:00Z</dcterms:modified>
</cp:coreProperties>
</file>